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4CF2" w14:textId="77777777" w:rsidR="001A6AA5" w:rsidRPr="0057212C" w:rsidRDefault="001A6AA5" w:rsidP="001A6AA5">
      <w:pPr>
        <w:spacing w:after="0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2D91E5" w14:textId="77777777" w:rsidR="001A6AA5" w:rsidRPr="00973C82" w:rsidRDefault="001A6AA5" w:rsidP="001A6AA5">
      <w:pPr>
        <w:spacing w:after="0"/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 ბანკი</w:t>
      </w:r>
    </w:p>
    <w:p w14:paraId="5942F1A8" w14:textId="0C1D692E" w:rsidR="001A6AA5" w:rsidRDefault="001A6AA5" w:rsidP="001A6AA5">
      <w:pPr>
        <w:spacing w:after="0"/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OLE_LINK1"/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 №</w:t>
      </w:r>
      <w:r w:rsidR="00721A1D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352</w:t>
      </w:r>
      <w:r w:rsidR="00DE41D1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B798C9" w14:textId="77777777" w:rsidR="001A6AA5" w:rsidRPr="00973C82" w:rsidRDefault="001A6AA5" w:rsidP="001A6AA5">
      <w:pPr>
        <w:spacing w:after="0"/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2BD7B3BD" w14:textId="78CBBE83" w:rsidR="00907095" w:rsidRDefault="0058059F" w:rsidP="0087114B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59F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ჯანმრთელობის დაზღვევის შესახებ</w:t>
      </w:r>
    </w:p>
    <w:p w14:paraId="0D173321" w14:textId="77777777" w:rsidR="0058059F" w:rsidRPr="00983963" w:rsidRDefault="0058059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559"/>
      </w:tblGrid>
      <w:tr w:rsidR="0058059F" w:rsidRPr="0058059F" w14:paraId="19DFAC17" w14:textId="77777777" w:rsidTr="00BE7DEA">
        <w:trPr>
          <w:trHeight w:val="263"/>
          <w:jc w:val="center"/>
        </w:trPr>
        <w:tc>
          <w:tcPr>
            <w:tcW w:w="4390" w:type="dxa"/>
            <w:shd w:val="clear" w:color="auto" w:fill="2E74B5" w:themeFill="accent1" w:themeFillShade="BF"/>
          </w:tcPr>
          <w:p w14:paraId="4E1127D1" w14:textId="24829C7A" w:rsidR="0058059F" w:rsidRPr="00520707" w:rsidRDefault="0058059F" w:rsidP="00BE7DEA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520707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ტენდერის გამოცხადების თარიღი</w:t>
            </w:r>
          </w:p>
        </w:tc>
        <w:tc>
          <w:tcPr>
            <w:tcW w:w="3559" w:type="dxa"/>
            <w:shd w:val="clear" w:color="auto" w:fill="2E74B5" w:themeFill="accent1" w:themeFillShade="BF"/>
          </w:tcPr>
          <w:p w14:paraId="03316AED" w14:textId="56A3CF1F" w:rsidR="0058059F" w:rsidRPr="00A513F3" w:rsidRDefault="007A061C" w:rsidP="005062B7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highlight w:val="yellow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7</w:t>
            </w:r>
            <w:r w:rsidR="00692CFE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თებერვალი</w:t>
            </w:r>
            <w:r w:rsidR="00EB4B42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</w:t>
            </w:r>
            <w:r w:rsidR="000D22C3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2023</w:t>
            </w:r>
            <w:r w:rsidR="00595AC1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16</w:t>
            </w:r>
            <w:r w:rsidR="0058059F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3</w:t>
            </w:r>
            <w:r w:rsidR="00312E05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0</w:t>
            </w:r>
          </w:p>
        </w:tc>
      </w:tr>
      <w:tr w:rsidR="0058059F" w:rsidRPr="0058059F" w14:paraId="2A79C746" w14:textId="77777777" w:rsidTr="00BE7DEA">
        <w:trPr>
          <w:trHeight w:val="250"/>
          <w:jc w:val="center"/>
        </w:trPr>
        <w:tc>
          <w:tcPr>
            <w:tcW w:w="4390" w:type="dxa"/>
            <w:shd w:val="clear" w:color="auto" w:fill="2E74B5" w:themeFill="accent1" w:themeFillShade="BF"/>
          </w:tcPr>
          <w:p w14:paraId="34D9A55B" w14:textId="77777777" w:rsidR="0058059F" w:rsidRPr="0058059F" w:rsidRDefault="0058059F" w:rsidP="00BE7DEA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58059F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559" w:type="dxa"/>
            <w:shd w:val="clear" w:color="auto" w:fill="2E74B5" w:themeFill="accent1" w:themeFillShade="BF"/>
          </w:tcPr>
          <w:p w14:paraId="1CA96AFA" w14:textId="5938462D" w:rsidR="0058059F" w:rsidRPr="00A513F3" w:rsidRDefault="007A061C" w:rsidP="00EB4B42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highlight w:val="yellow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17</w:t>
            </w:r>
            <w:r w:rsidR="00520707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თებერვალ</w:t>
            </w:r>
            <w:r w:rsidR="00520707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ი</w:t>
            </w:r>
            <w:r w:rsidR="00595AC1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,</w:t>
            </w:r>
            <w:r w:rsidR="000D22C3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2023</w:t>
            </w:r>
            <w:r w:rsidR="0058059F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- 1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7</w:t>
            </w:r>
            <w:r w:rsidR="0058059F" w:rsidRPr="00A513F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</w:tbl>
    <w:p w14:paraId="1CDE82BA" w14:textId="77777777" w:rsidR="00474F3F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1F49D930" w14:textId="77777777" w:rsidR="00474F3F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6F1DC214" w14:textId="77777777" w:rsidR="00474F3F" w:rsidRPr="00C93BF6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63AB6995" w14:textId="77777777" w:rsidR="00044CDF" w:rsidRDefault="00044CDF" w:rsidP="0087114B">
      <w:pPr>
        <w:spacing w:after="0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1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41FE5DC2" w14:textId="77777777" w:rsidR="00C76583" w:rsidRPr="00595AC1" w:rsidRDefault="00C76583" w:rsidP="004458D7">
          <w:pPr>
            <w:pStyle w:val="TOCHeading"/>
            <w:tabs>
              <w:tab w:val="left" w:pos="2670"/>
            </w:tabs>
            <w:rPr>
              <w:rFonts w:ascii="Sylfaen" w:hAnsi="Sylfaen"/>
              <w:sz w:val="22"/>
              <w:szCs w:val="22"/>
            </w:rPr>
          </w:pPr>
          <w:r w:rsidRPr="002C60F3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  <w:r w:rsidR="004458D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4B76005E" w14:textId="77777777" w:rsidR="00810C50" w:rsidRDefault="00A44F7D">
          <w:pPr>
            <w:pStyle w:val="TOC2"/>
            <w:rPr>
              <w:rFonts w:eastAsiaTheme="minorEastAsia"/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12615104" w:history="1"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_Toc12615104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1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08F8F2EA" w14:textId="77777777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05" w:history="1"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810C50">
              <w:rPr>
                <w:rFonts w:eastAsiaTheme="minorEastAsia"/>
                <w:noProof/>
              </w:rPr>
              <w:tab/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ზოგადი ინფორმაცია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_Toc12615105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2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518BA98A" w14:textId="7C99F958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06" w:history="1"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810C50">
              <w:rPr>
                <w:rFonts w:eastAsiaTheme="minorEastAsia"/>
                <w:noProof/>
              </w:rPr>
              <w:tab/>
            </w:r>
            <w:r w:rsidR="0040349E">
              <w:rPr>
                <w:rStyle w:val="Hyperlink"/>
                <w:rFonts w:ascii="Sylfaen" w:hAnsi="Sylfaen" w:cs="Sylfaen"/>
                <w:noProof/>
                <w:lang w:val="ka-GE"/>
              </w:rPr>
              <w:t>შერჩევის</w:t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 პირობები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_Toc12615106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2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75F3E540" w14:textId="77777777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07" w:history="1"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810C50">
              <w:rPr>
                <w:rFonts w:eastAsiaTheme="minorEastAsia"/>
                <w:noProof/>
              </w:rPr>
              <w:tab/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მოთხოვნები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_Toc12615107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3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54BFD6B7" w14:textId="218C5746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09" w:history="1">
            <w:r w:rsidR="0040349E">
              <w:rPr>
                <w:rStyle w:val="Hyperlink"/>
                <w:rFonts w:ascii="Sylfaen" w:hAnsi="Sylfaen" w:cs="Sylfaen"/>
                <w:noProof/>
                <w:lang w:val="ka-GE"/>
              </w:rPr>
              <w:t>4</w:t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810C50">
              <w:rPr>
                <w:rFonts w:eastAsiaTheme="minorEastAsia"/>
                <w:noProof/>
              </w:rPr>
              <w:tab/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_Toc12615109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3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5E9CFF73" w14:textId="589E48F2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10" w:history="1">
            <w:r w:rsidR="0040349E">
              <w:rPr>
                <w:rStyle w:val="Hyperlink"/>
                <w:rFonts w:ascii="Sylfaen" w:hAnsi="Sylfaen" w:cs="Sylfaen"/>
                <w:noProof/>
                <w:lang w:val="ka-GE"/>
              </w:rPr>
              <w:t>5</w:t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810C50">
              <w:rPr>
                <w:rFonts w:eastAsiaTheme="minorEastAsia"/>
                <w:noProof/>
              </w:rPr>
              <w:tab/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</w:t>
            </w:r>
            <w:r w:rsidR="007A061C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</w:t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tenders.ge–ზე ასატვირთი დოკუმენტაცია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_Toc12615110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4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4800B7DE" w14:textId="63BFBF68" w:rsidR="00810C50" w:rsidRDefault="00721A1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2615111" w:history="1">
            <w:r w:rsidR="0040349E">
              <w:rPr>
                <w:rStyle w:val="Hyperlink"/>
                <w:rFonts w:ascii="Sylfaen" w:hAnsi="Sylfaen" w:cs="Sylfaen"/>
                <w:noProof/>
                <w:lang w:val="ka-GE"/>
              </w:rPr>
              <w:t>6</w:t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810C50">
              <w:rPr>
                <w:rFonts w:eastAsiaTheme="minorEastAsia"/>
                <w:noProof/>
              </w:rPr>
              <w:tab/>
            </w:r>
            <w:r w:rsidR="00810C50" w:rsidRPr="00443065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810C50">
              <w:rPr>
                <w:noProof/>
                <w:webHidden/>
              </w:rPr>
              <w:tab/>
            </w:r>
            <w:r w:rsidR="00810C50">
              <w:rPr>
                <w:noProof/>
                <w:webHidden/>
              </w:rPr>
              <w:fldChar w:fldCharType="begin"/>
            </w:r>
            <w:r w:rsidR="00810C50">
              <w:rPr>
                <w:noProof/>
                <w:webHidden/>
              </w:rPr>
              <w:instrText xml:space="preserve"> PAGEREF _Toc12615111 \h </w:instrText>
            </w:r>
            <w:r w:rsidR="00810C50">
              <w:rPr>
                <w:noProof/>
                <w:webHidden/>
              </w:rPr>
            </w:r>
            <w:r w:rsidR="00810C50">
              <w:rPr>
                <w:noProof/>
                <w:webHidden/>
              </w:rPr>
              <w:fldChar w:fldCharType="separate"/>
            </w:r>
            <w:r w:rsidR="00810C50">
              <w:rPr>
                <w:noProof/>
                <w:webHidden/>
              </w:rPr>
              <w:t>4</w:t>
            </w:r>
            <w:r w:rsidR="00810C50">
              <w:rPr>
                <w:noProof/>
                <w:webHidden/>
              </w:rPr>
              <w:fldChar w:fldCharType="end"/>
            </w:r>
          </w:hyperlink>
        </w:p>
        <w:p w14:paraId="19777548" w14:textId="77777777" w:rsidR="00C76583" w:rsidRDefault="00A44F7D" w:rsidP="00D655CF">
          <w:pPr>
            <w:pStyle w:val="TOC2"/>
            <w:ind w:left="0"/>
          </w:pPr>
          <w:r w:rsidRPr="002C60F3">
            <w:fldChar w:fldCharType="end"/>
          </w:r>
        </w:p>
      </w:sdtContent>
    </w:sdt>
    <w:p w14:paraId="16DB1C3B" w14:textId="77777777" w:rsidR="00474F3F" w:rsidRDefault="00474F3F" w:rsidP="00520707">
      <w:pPr>
        <w:jc w:val="right"/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14:paraId="11E5D877" w14:textId="77777777" w:rsidR="00BE7DEA" w:rsidRDefault="00BE7DEA" w:rsidP="00520707">
      <w:pPr>
        <w:jc w:val="right"/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14:paraId="39AE1ADB" w14:textId="77777777" w:rsidR="00BE7DEA" w:rsidRDefault="00BE7DEA" w:rsidP="00520707">
      <w:pPr>
        <w:jc w:val="right"/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14:paraId="6749244A" w14:textId="77777777" w:rsidR="00BE7DEA" w:rsidRPr="00B17779" w:rsidRDefault="00BE7DEA" w:rsidP="00520707">
      <w:pPr>
        <w:jc w:val="right"/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14:paraId="6ED6CB70" w14:textId="77777777" w:rsidR="008919EF" w:rsidRDefault="006618DC" w:rsidP="00934A9C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2" w:name="_Toc12615104"/>
      <w:r w:rsidRPr="00347383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თანდართული დოკუმენტაცია</w:t>
      </w:r>
      <w:bookmarkEnd w:id="2"/>
      <w:r w:rsidR="00934A9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ab/>
      </w:r>
    </w:p>
    <w:p w14:paraId="6DA884DB" w14:textId="18021981" w:rsidR="00D35970" w:rsidRPr="00473764" w:rsidRDefault="00D35970" w:rsidP="003D433B">
      <w:pPr>
        <w:pStyle w:val="ListParagraph"/>
        <w:numPr>
          <w:ilvl w:val="0"/>
          <w:numId w:val="42"/>
        </w:numPr>
        <w:rPr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="00B17779">
        <w:rPr>
          <w:rFonts w:ascii="Sylfaen" w:hAnsi="Sylfaen" w:cs="Sylfaen"/>
          <w:lang w:val="ka-GE"/>
        </w:rPr>
        <w:t xml:space="preserve"> </w:t>
      </w:r>
      <w:r w:rsidR="00B17779">
        <w:rPr>
          <w:lang w:val="ka-GE"/>
        </w:rPr>
        <w:t>№</w:t>
      </w:r>
      <w:r w:rsidR="007A061C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- </w:t>
      </w:r>
      <w:r w:rsidR="00B17779">
        <w:rPr>
          <w:rFonts w:ascii="Sylfaen" w:hAnsi="Sylfaen" w:cs="Sylfaen"/>
          <w:lang w:val="ka-GE"/>
        </w:rPr>
        <w:t>კრედო</w:t>
      </w:r>
      <w:r w:rsidR="003D433B">
        <w:rPr>
          <w:rFonts w:ascii="Sylfaen" w:hAnsi="Sylfaen" w:cs="Sylfaen"/>
          <w:lang w:val="ka-GE"/>
        </w:rPr>
        <w:t xml:space="preserve"> ბანკის </w:t>
      </w:r>
      <w:r w:rsidR="00377F99">
        <w:rPr>
          <w:rFonts w:ascii="Sylfaen" w:hAnsi="Sylfaen" w:cs="Sylfaen"/>
          <w:lang w:val="ka-GE"/>
        </w:rPr>
        <w:t>ოფისები</w:t>
      </w:r>
    </w:p>
    <w:p w14:paraId="4EF3CE7D" w14:textId="7AA293EC" w:rsidR="00473764" w:rsidRPr="0087577D" w:rsidRDefault="00473764" w:rsidP="003D433B">
      <w:pPr>
        <w:pStyle w:val="ListParagraph"/>
        <w:numPr>
          <w:ilvl w:val="0"/>
          <w:numId w:val="42"/>
        </w:numPr>
        <w:rPr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lang w:val="ka-GE"/>
        </w:rPr>
        <w:t>№</w:t>
      </w:r>
      <w:r w:rsidR="007A061C">
        <w:rPr>
          <w:rFonts w:ascii="Sylfaen" w:hAnsi="Sylfaen" w:cs="Sylfaen"/>
          <w:lang w:val="ka-GE"/>
        </w:rPr>
        <w:t>2</w:t>
      </w:r>
      <w:r w:rsidR="003C18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- შესაბამისობა გარემოსდაცვით და სოციალურ საკითხებთან</w:t>
      </w:r>
    </w:p>
    <w:p w14:paraId="77797C66" w14:textId="5D1C7CB2" w:rsidR="0087577D" w:rsidRPr="000D22C3" w:rsidRDefault="0087577D" w:rsidP="003D433B">
      <w:pPr>
        <w:pStyle w:val="ListParagraph"/>
        <w:numPr>
          <w:ilvl w:val="0"/>
          <w:numId w:val="42"/>
        </w:numPr>
        <w:rPr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lang w:val="ka-GE"/>
        </w:rPr>
        <w:t>№</w:t>
      </w:r>
      <w:r w:rsidR="007A061C">
        <w:rPr>
          <w:rFonts w:ascii="Sylfaen" w:hAnsi="Sylfaen" w:cs="Sylfaen"/>
        </w:rPr>
        <w:t>3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  <w:lang w:val="ka-GE"/>
        </w:rPr>
        <w:t>აფიდავიტი</w:t>
      </w:r>
    </w:p>
    <w:p w14:paraId="7D8496B6" w14:textId="33A73BCB" w:rsidR="005062B7" w:rsidRDefault="000D22C3" w:rsidP="003D433B">
      <w:pPr>
        <w:pStyle w:val="ListParagraph"/>
        <w:numPr>
          <w:ilvl w:val="0"/>
          <w:numId w:val="42"/>
        </w:numPr>
        <w:rPr>
          <w:lang w:val="ka-GE"/>
        </w:rPr>
      </w:pPr>
      <w:r w:rsidRPr="00F339E6">
        <w:rPr>
          <w:rFonts w:ascii="Sylfaen" w:hAnsi="Sylfaen"/>
          <w:lang w:val="ka-GE"/>
        </w:rPr>
        <w:t>დანართი</w:t>
      </w:r>
      <w:r w:rsidR="007A061C">
        <w:rPr>
          <w:rFonts w:ascii="Sylfaen" w:hAnsi="Sylfaen"/>
          <w:lang w:val="ka-GE"/>
        </w:rPr>
        <w:t xml:space="preserve"> №4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  <w:lang w:val="ka-GE"/>
        </w:rPr>
        <w:t>ანგარიშის გახსნის თაობაზე</w:t>
      </w:r>
    </w:p>
    <w:p w14:paraId="3491AC0E" w14:textId="77777777" w:rsidR="000D22C3" w:rsidRPr="005062B7" w:rsidRDefault="000D22C3" w:rsidP="005062B7">
      <w:pPr>
        <w:rPr>
          <w:lang w:val="ka-GE"/>
        </w:rPr>
      </w:pPr>
    </w:p>
    <w:p w14:paraId="74FDADB5" w14:textId="77777777" w:rsidR="00474F3F" w:rsidRPr="006618DC" w:rsidRDefault="00474F3F" w:rsidP="00474F3F">
      <w:pPr>
        <w:pStyle w:val="ListParagraph"/>
        <w:rPr>
          <w:rFonts w:ascii="Sylfaen" w:hAnsi="Sylfaen"/>
          <w:lang w:val="ka-GE"/>
        </w:rPr>
      </w:pPr>
    </w:p>
    <w:p w14:paraId="42FDE52D" w14:textId="41AF247D" w:rsidR="00E10FD6" w:rsidRPr="0058059F" w:rsidRDefault="00E10FD6" w:rsidP="000B7130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3" w:name="_Toc12615105"/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lastRenderedPageBreak/>
        <w:t>ზოგადი ინფორმაცია</w:t>
      </w:r>
      <w:bookmarkEnd w:id="3"/>
      <w:bookmarkEnd w:id="1"/>
    </w:p>
    <w:p w14:paraId="214DC2E5" w14:textId="6C1D3F02" w:rsidR="004B25E0" w:rsidRPr="006558EF" w:rsidRDefault="001414CF" w:rsidP="009D4B7C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სს</w:t>
      </w:r>
      <w:r w:rsidR="00526810">
        <w:rPr>
          <w:rFonts w:ascii="Sylfaen" w:hAnsi="Sylfaen"/>
          <w:lang w:val="ka-GE"/>
        </w:rPr>
        <w:t xml:space="preserve"> </w:t>
      </w:r>
      <w:r w:rsidR="00264A5D">
        <w:rPr>
          <w:rFonts w:ascii="Sylfaen" w:hAnsi="Sylfaen"/>
          <w:lang w:val="ka-GE"/>
        </w:rPr>
        <w:t>„</w:t>
      </w:r>
      <w:r w:rsidR="004B25E0" w:rsidRPr="002C60F3">
        <w:rPr>
          <w:rFonts w:ascii="Sylfaen" w:hAnsi="Sylfaen"/>
          <w:lang w:val="ka-GE"/>
        </w:rPr>
        <w:t>კრედო</w:t>
      </w:r>
      <w:r w:rsidR="00264A5D">
        <w:rPr>
          <w:rFonts w:ascii="Sylfaen" w:hAnsi="Sylfaen"/>
          <w:lang w:val="ka-GE"/>
        </w:rPr>
        <w:t xml:space="preserve"> ბანკი</w:t>
      </w:r>
      <w:r w:rsidR="004B25E0" w:rsidRPr="002C60F3">
        <w:rPr>
          <w:rFonts w:ascii="Sylfaen" w:hAnsi="Sylfaen"/>
          <w:lang w:val="ka-GE"/>
        </w:rPr>
        <w:t xml:space="preserve">“ </w:t>
      </w:r>
      <w:r w:rsidR="003D433B">
        <w:rPr>
          <w:rFonts w:ascii="Sylfaen" w:hAnsi="Sylfaen"/>
          <w:lang w:val="ka-GE"/>
        </w:rPr>
        <w:t>(შემდგომში კრედო ბანკი)</w:t>
      </w:r>
      <w:r w:rsidR="00837449" w:rsidRPr="002C60F3">
        <w:rPr>
          <w:rFonts w:ascii="Sylfaen" w:hAnsi="Sylfaen"/>
          <w:lang w:val="ka-GE"/>
        </w:rPr>
        <w:t xml:space="preserve"> სწრაფად მზარდი ორგანიზაციაა</w:t>
      </w:r>
      <w:r w:rsidR="008439A7">
        <w:rPr>
          <w:rFonts w:ascii="Sylfaen" w:hAnsi="Sylfaen"/>
        </w:rPr>
        <w:t>,</w:t>
      </w:r>
      <w:r w:rsidR="00837449" w:rsidRPr="002C60F3">
        <w:rPr>
          <w:rFonts w:ascii="Sylfaen" w:hAnsi="Sylfaen"/>
          <w:lang w:val="ka-GE"/>
        </w:rPr>
        <w:t xml:space="preserve"> რომელიც წარმატებით ფუნქციონირებს  საქართველოს 11 რეგიონში</w:t>
      </w:r>
      <w:r w:rsidR="00C516C5">
        <w:rPr>
          <w:rFonts w:ascii="Sylfaen" w:hAnsi="Sylfaen"/>
          <w:lang w:val="ka-GE"/>
        </w:rPr>
        <w:t xml:space="preserve"> და </w:t>
      </w:r>
      <w:r w:rsidR="00837449" w:rsidRPr="002C60F3">
        <w:rPr>
          <w:rFonts w:ascii="Sylfaen" w:hAnsi="Sylfaen"/>
          <w:lang w:val="ka-GE"/>
        </w:rPr>
        <w:t xml:space="preserve"> </w:t>
      </w:r>
      <w:r w:rsidR="00CB66EB" w:rsidRPr="002C60F3">
        <w:rPr>
          <w:rFonts w:ascii="Sylfaen" w:hAnsi="Sylfaen"/>
          <w:lang w:val="ka-GE"/>
        </w:rPr>
        <w:t>დღესდღეობით</w:t>
      </w:r>
      <w:r w:rsidR="00554438">
        <w:rPr>
          <w:rFonts w:ascii="Sylfaen" w:hAnsi="Sylfaen"/>
          <w:lang w:val="ka-GE"/>
        </w:rPr>
        <w:t xml:space="preserve"> </w:t>
      </w:r>
      <w:r w:rsidR="0011284A">
        <w:rPr>
          <w:rFonts w:ascii="Sylfaen" w:hAnsi="Sylfaen"/>
          <w:lang w:val="ka-GE"/>
        </w:rPr>
        <w:t xml:space="preserve">მოიცავს </w:t>
      </w:r>
      <w:r w:rsidR="00F937BD">
        <w:rPr>
          <w:rFonts w:ascii="Sylfaen" w:hAnsi="Sylfaen"/>
          <w:b/>
          <w:lang w:val="ka-GE"/>
        </w:rPr>
        <w:t>83</w:t>
      </w:r>
      <w:r w:rsidR="00264A5D">
        <w:rPr>
          <w:rFonts w:ascii="Sylfaen" w:hAnsi="Sylfaen"/>
          <w:lang w:val="ka-GE"/>
        </w:rPr>
        <w:t xml:space="preserve"> სერვისცენტრს</w:t>
      </w:r>
      <w:r w:rsidR="000D22C3">
        <w:rPr>
          <w:rFonts w:ascii="Sylfaen" w:hAnsi="Sylfaen"/>
          <w:lang w:val="ka-GE"/>
        </w:rPr>
        <w:t xml:space="preserve"> და სათავო ოფისს</w:t>
      </w:r>
      <w:r w:rsidR="00264A5D">
        <w:rPr>
          <w:rFonts w:ascii="Sylfaen" w:hAnsi="Sylfaen"/>
          <w:lang w:val="ka-GE"/>
        </w:rPr>
        <w:t xml:space="preserve"> .</w:t>
      </w:r>
    </w:p>
    <w:p w14:paraId="3F3A92F9" w14:textId="3824961E" w:rsidR="00F53C9E" w:rsidRPr="00291527" w:rsidRDefault="00C70D95" w:rsidP="0011284A">
      <w:pPr>
        <w:jc w:val="both"/>
        <w:rPr>
          <w:rFonts w:ascii="Sylfaen" w:hAnsi="Sylfaen"/>
          <w:lang w:val="ka-GE"/>
        </w:rPr>
      </w:pPr>
      <w:r w:rsidRPr="00291527">
        <w:rPr>
          <w:rFonts w:ascii="Sylfaen" w:hAnsi="Sylfaen" w:cs="Sylfaen"/>
          <w:lang w:val="ka-GE"/>
        </w:rPr>
        <w:t>გაცნობებთ</w:t>
      </w:r>
      <w:r w:rsidRPr="00291527">
        <w:rPr>
          <w:rFonts w:ascii="Sylfaen" w:hAnsi="Sylfaen"/>
          <w:lang w:val="ka-GE"/>
        </w:rPr>
        <w:t xml:space="preserve">, რომ </w:t>
      </w:r>
      <w:r w:rsidR="003D433B" w:rsidRPr="00291527">
        <w:rPr>
          <w:rFonts w:ascii="Sylfaen" w:hAnsi="Sylfaen"/>
          <w:lang w:val="ka-GE"/>
        </w:rPr>
        <w:t>კრედო ბანკი</w:t>
      </w:r>
      <w:r w:rsidRPr="00291527">
        <w:rPr>
          <w:rFonts w:ascii="Sylfaen" w:hAnsi="Sylfaen"/>
          <w:lang w:val="ka-GE"/>
        </w:rPr>
        <w:t xml:space="preserve"> აცხადებს ტენდერს</w:t>
      </w:r>
      <w:r w:rsidR="0040349E">
        <w:rPr>
          <w:rFonts w:ascii="Sylfaen" w:hAnsi="Sylfaen"/>
          <w:lang w:val="ka-GE"/>
        </w:rPr>
        <w:t xml:space="preserve"> სადაზღვევო კომპანია/ების შერჩევის შესახებ</w:t>
      </w:r>
      <w:r w:rsidR="00B17779" w:rsidRPr="00291527">
        <w:rPr>
          <w:rFonts w:ascii="Sylfaen" w:hAnsi="Sylfaen"/>
          <w:lang w:val="ka-GE"/>
        </w:rPr>
        <w:t xml:space="preserve"> </w:t>
      </w:r>
      <w:r w:rsidR="00640B67" w:rsidRPr="00291527">
        <w:rPr>
          <w:rFonts w:ascii="Sylfaen" w:hAnsi="Sylfaen"/>
          <w:lang w:val="ka-GE"/>
        </w:rPr>
        <w:t>ჯანმრთელობის დაზღვევ</w:t>
      </w:r>
      <w:r w:rsidR="0040349E">
        <w:rPr>
          <w:rFonts w:ascii="Sylfaen" w:hAnsi="Sylfaen"/>
          <w:lang w:val="ka-GE"/>
        </w:rPr>
        <w:t xml:space="preserve">ის </w:t>
      </w:r>
      <w:r w:rsidR="0061718C">
        <w:rPr>
          <w:rFonts w:ascii="Sylfaen" w:hAnsi="Sylfaen"/>
          <w:lang w:val="ka-GE"/>
        </w:rPr>
        <w:t>პროდუქტზე</w:t>
      </w:r>
      <w:r w:rsidR="00F937BD">
        <w:rPr>
          <w:rFonts w:ascii="Sylfaen" w:hAnsi="Sylfaen"/>
          <w:lang w:val="ka-GE"/>
        </w:rPr>
        <w:t xml:space="preserve"> რასაც შევთავაზებთ არსებულ მომხმარებლებს</w:t>
      </w:r>
      <w:r w:rsidR="0040349E">
        <w:rPr>
          <w:rFonts w:ascii="Sylfaen" w:hAnsi="Sylfaen"/>
          <w:lang w:val="ka-GE"/>
        </w:rPr>
        <w:t xml:space="preserve"> </w:t>
      </w:r>
      <w:r w:rsidRPr="00291527">
        <w:rPr>
          <w:rFonts w:ascii="Sylfaen" w:hAnsi="Sylfaen"/>
          <w:lang w:val="ka-GE"/>
        </w:rPr>
        <w:t>და იწვევს  დაინტერესებულ კომპანიებს ღია</w:t>
      </w:r>
      <w:r w:rsidR="003D433B" w:rsidRPr="00291527">
        <w:rPr>
          <w:rFonts w:ascii="Sylfaen" w:hAnsi="Sylfaen"/>
          <w:lang w:val="ka-GE"/>
        </w:rPr>
        <w:t xml:space="preserve"> კონკურენტუნარიან</w:t>
      </w:r>
      <w:r w:rsidRPr="00291527">
        <w:rPr>
          <w:rFonts w:ascii="Sylfaen" w:hAnsi="Sylfaen"/>
          <w:lang w:val="ka-GE"/>
        </w:rPr>
        <w:t xml:space="preserve"> ტენდერში მონაწილეობის მისაღებად.</w:t>
      </w:r>
      <w:r w:rsidR="0011284A" w:rsidRPr="00291527">
        <w:rPr>
          <w:rFonts w:ascii="Sylfaen" w:hAnsi="Sylfaen"/>
          <w:lang w:val="ka-GE"/>
        </w:rPr>
        <w:t xml:space="preserve"> </w:t>
      </w:r>
      <w:r w:rsidR="00D96257" w:rsidRPr="00291527">
        <w:rPr>
          <w:rFonts w:ascii="Sylfaen" w:hAnsi="Sylfaen"/>
          <w:lang w:val="ka-GE"/>
        </w:rPr>
        <w:t xml:space="preserve"> </w:t>
      </w:r>
    </w:p>
    <w:p w14:paraId="452534BF" w14:textId="716E0277" w:rsidR="00B17779" w:rsidRPr="0058059F" w:rsidRDefault="0040349E" w:rsidP="000B7130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4" w:name="_Toc470080984"/>
      <w:bookmarkStart w:id="5" w:name="_Toc12615106"/>
      <w:r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შერჩევის</w:t>
      </w:r>
      <w:r w:rsidR="00B17779"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 xml:space="preserve">  პირობები</w:t>
      </w:r>
      <w:bookmarkEnd w:id="4"/>
      <w:bookmarkEnd w:id="5"/>
    </w:p>
    <w:p w14:paraId="246C1A0D" w14:textId="1E634E4B" w:rsidR="003D433B" w:rsidRDefault="00F937BD" w:rsidP="003D433B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კომპანიებმა უნდა წარმოადგინონ </w:t>
      </w:r>
      <w:r w:rsidR="0040349E">
        <w:rPr>
          <w:rFonts w:ascii="Sylfaen" w:hAnsi="Sylfaen"/>
          <w:lang w:val="ka-GE"/>
        </w:rPr>
        <w:t xml:space="preserve">ჯანმრთელობის დაზღვევის </w:t>
      </w:r>
      <w:r>
        <w:rPr>
          <w:rFonts w:ascii="Sylfaen" w:hAnsi="Sylfaen"/>
          <w:lang w:val="ka-GE"/>
        </w:rPr>
        <w:t>პროდუქტზე პოლისები შემდეგი კატეგორიების მიხედვით:</w:t>
      </w:r>
    </w:p>
    <w:p w14:paraId="61E3D4DE" w14:textId="77777777" w:rsidR="0040349E" w:rsidRDefault="0040349E" w:rsidP="003D433B">
      <w:pPr>
        <w:spacing w:after="0" w:line="240" w:lineRule="auto"/>
        <w:rPr>
          <w:rFonts w:ascii="Sylfaen" w:hAnsi="Sylfaen"/>
          <w:lang w:val="ka-GE"/>
        </w:rPr>
      </w:pPr>
    </w:p>
    <w:p w14:paraId="0303A0F6" w14:textId="6903F672" w:rsidR="005B4270" w:rsidRPr="000721CC" w:rsidRDefault="00F937BD" w:rsidP="003D433B">
      <w:pPr>
        <w:pStyle w:val="ListParagraph"/>
        <w:numPr>
          <w:ilvl w:val="0"/>
          <w:numId w:val="2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სტანდარტული</w:t>
      </w:r>
    </w:p>
    <w:p w14:paraId="09D95517" w14:textId="3B55567B" w:rsidR="0057212C" w:rsidRDefault="00F937BD" w:rsidP="003D433B">
      <w:pPr>
        <w:pStyle w:val="ListParagraph"/>
        <w:numPr>
          <w:ilvl w:val="0"/>
          <w:numId w:val="2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კლასიკი</w:t>
      </w:r>
    </w:p>
    <w:p w14:paraId="70E8E3C5" w14:textId="2AE0C5E1" w:rsidR="0040349E" w:rsidRPr="000721CC" w:rsidRDefault="0040349E" w:rsidP="003D433B">
      <w:pPr>
        <w:pStyle w:val="ListParagraph"/>
        <w:numPr>
          <w:ilvl w:val="0"/>
          <w:numId w:val="2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პრემიუმი</w:t>
      </w:r>
    </w:p>
    <w:p w14:paraId="44EE4478" w14:textId="77777777" w:rsidR="005B4270" w:rsidRDefault="005B4270" w:rsidP="005B4270">
      <w:pPr>
        <w:shd w:val="clear" w:color="auto" w:fill="FFFFFF"/>
        <w:spacing w:after="0" w:line="276" w:lineRule="auto"/>
        <w:rPr>
          <w:rFonts w:ascii="Sylfaen" w:hAnsi="Sylfaen"/>
          <w:b/>
          <w:lang w:val="ka-GE"/>
        </w:rPr>
      </w:pPr>
    </w:p>
    <w:p w14:paraId="03C57A14" w14:textId="77777777" w:rsidR="00AC0D09" w:rsidRPr="007C636E" w:rsidRDefault="00B17779" w:rsidP="0087577D">
      <w:pPr>
        <w:pStyle w:val="ListParagraph"/>
        <w:shd w:val="clear" w:color="auto" w:fill="FFFFFF"/>
        <w:spacing w:after="0" w:line="276" w:lineRule="auto"/>
        <w:rPr>
          <w:rFonts w:ascii="Sylfaen" w:hAnsi="Sylfaen" w:cs="Sylfaen"/>
          <w:color w:val="1F4E79" w:themeColor="accent1" w:themeShade="80"/>
          <w:lang w:val="ka-GE"/>
        </w:rPr>
      </w:pPr>
      <w:r w:rsidRPr="005B4270">
        <w:rPr>
          <w:rFonts w:ascii="Sylfaen" w:hAnsi="Sylfaen" w:cs="Sylfaen"/>
          <w:b/>
          <w:lang w:val="ka-GE"/>
        </w:rPr>
        <w:t>ძირითადი</w:t>
      </w:r>
      <w:r w:rsidRPr="005B4270">
        <w:rPr>
          <w:rFonts w:ascii="Sylfaen" w:hAnsi="Sylfaen"/>
          <w:b/>
          <w:lang w:val="ka-GE"/>
        </w:rPr>
        <w:t xml:space="preserve"> მოთხოვნები</w:t>
      </w:r>
    </w:p>
    <w:p w14:paraId="08D29C72" w14:textId="5F997CFD" w:rsidR="007C636E" w:rsidRPr="00D02251" w:rsidRDefault="007C636E" w:rsidP="00BE7DEA">
      <w:pPr>
        <w:pStyle w:val="ListParagraph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Sylfaen" w:hAnsi="Sylfaen" w:cs="Sylfaen"/>
          <w:lang w:val="ka-GE"/>
        </w:rPr>
      </w:pPr>
      <w:r w:rsidRPr="00D02251">
        <w:rPr>
          <w:rFonts w:ascii="Sylfaen" w:hAnsi="Sylfaen" w:cs="Sylfaen"/>
          <w:lang w:val="ka-GE"/>
        </w:rPr>
        <w:t>პრეტენდენტ</w:t>
      </w:r>
      <w:r w:rsidR="003C182A">
        <w:rPr>
          <w:rFonts w:ascii="Sylfaen" w:hAnsi="Sylfaen" w:cs="Sylfaen"/>
          <w:lang w:val="ka-GE"/>
        </w:rPr>
        <w:t>ი</w:t>
      </w:r>
      <w:r w:rsidRPr="00D02251">
        <w:rPr>
          <w:rFonts w:ascii="Sylfaen" w:hAnsi="Sylfaen" w:cs="Sylfaen"/>
          <w:lang w:val="ka-GE"/>
        </w:rPr>
        <w:t xml:space="preserve"> კომპანია</w:t>
      </w:r>
      <w:r w:rsidR="003C182A">
        <w:rPr>
          <w:rFonts w:ascii="Sylfaen" w:hAnsi="Sylfaen" w:cs="Sylfaen"/>
          <w:lang w:val="ka-GE"/>
        </w:rPr>
        <w:t>,</w:t>
      </w:r>
      <w:r w:rsidR="005854C1" w:rsidRPr="00D02251">
        <w:rPr>
          <w:rFonts w:ascii="Sylfaen" w:hAnsi="Sylfaen" w:cs="Sylfaen"/>
          <w:lang w:val="ka-GE"/>
        </w:rPr>
        <w:t xml:space="preserve"> თავისი მომსახურე ობიექტებით</w:t>
      </w:r>
      <w:r w:rsidR="003C182A">
        <w:rPr>
          <w:rFonts w:ascii="Sylfaen" w:hAnsi="Sylfaen" w:cs="Sylfaen"/>
          <w:lang w:val="ka-GE"/>
        </w:rPr>
        <w:t>,</w:t>
      </w:r>
      <w:r w:rsidR="005854C1" w:rsidRPr="00D02251">
        <w:rPr>
          <w:rFonts w:ascii="Sylfaen" w:hAnsi="Sylfaen" w:cs="Sylfaen"/>
          <w:lang w:val="ka-GE"/>
        </w:rPr>
        <w:t xml:space="preserve"> აუცილებლად უნდა იყოს წარმოდგენილი საქართველოს </w:t>
      </w:r>
      <w:r w:rsidR="00E54F07" w:rsidRPr="00D02251">
        <w:rPr>
          <w:rFonts w:ascii="Sylfaen" w:hAnsi="Sylfaen" w:cs="Sylfaen"/>
          <w:lang w:val="ka-GE"/>
        </w:rPr>
        <w:t>ყველა დიდ ქალაქში;</w:t>
      </w:r>
      <w:r w:rsidR="009D69D8" w:rsidRPr="00D02251">
        <w:rPr>
          <w:rFonts w:ascii="Sylfaen" w:hAnsi="Sylfaen" w:cs="Sylfaen"/>
          <w:lang w:val="ka-GE"/>
        </w:rPr>
        <w:t xml:space="preserve"> ყველა </w:t>
      </w:r>
      <w:r w:rsidR="009559C3">
        <w:rPr>
          <w:rFonts w:ascii="Sylfaen" w:hAnsi="Sylfaen" w:cs="Sylfaen"/>
          <w:lang w:val="ka-GE"/>
        </w:rPr>
        <w:t>სხვა რაიონსა და ქალაქში</w:t>
      </w:r>
      <w:r w:rsidR="009D69D8" w:rsidRPr="00D02251">
        <w:rPr>
          <w:rFonts w:ascii="Sylfaen" w:hAnsi="Sylfaen" w:cs="Sylfaen"/>
          <w:lang w:val="ka-GE"/>
        </w:rPr>
        <w:t xml:space="preserve"> </w:t>
      </w:r>
      <w:r w:rsidR="009559C3">
        <w:rPr>
          <w:rFonts w:ascii="Sylfaen" w:hAnsi="Sylfaen" w:cs="Sylfaen"/>
          <w:lang w:val="ka-GE"/>
        </w:rPr>
        <w:t xml:space="preserve">კი, </w:t>
      </w:r>
      <w:r w:rsidR="00377050" w:rsidRPr="00D02251">
        <w:rPr>
          <w:rFonts w:ascii="Sylfaen" w:hAnsi="Sylfaen" w:cs="Sylfaen"/>
          <w:lang w:val="ka-GE"/>
        </w:rPr>
        <w:t xml:space="preserve">სადაც ფუნქციონირებს </w:t>
      </w:r>
      <w:r w:rsidR="003D433B">
        <w:rPr>
          <w:rFonts w:ascii="Sylfaen" w:hAnsi="Sylfaen" w:cs="Sylfaen"/>
          <w:lang w:val="ka-GE"/>
        </w:rPr>
        <w:t>კრედო ბანკის</w:t>
      </w:r>
      <w:r w:rsidR="00377050" w:rsidRPr="00D02251">
        <w:rPr>
          <w:rFonts w:ascii="Sylfaen" w:hAnsi="Sylfaen" w:cs="Sylfaen"/>
          <w:lang w:val="ka-GE"/>
        </w:rPr>
        <w:t xml:space="preserve"> </w:t>
      </w:r>
      <w:r w:rsidR="003C182A">
        <w:rPr>
          <w:rFonts w:ascii="Sylfaen" w:hAnsi="Sylfaen" w:cs="Sylfaen"/>
          <w:lang w:val="ka-GE"/>
        </w:rPr>
        <w:t>სერვისცენტრი</w:t>
      </w:r>
      <w:r w:rsidR="009559C3">
        <w:rPr>
          <w:rFonts w:ascii="Sylfaen" w:hAnsi="Sylfaen" w:cs="Sylfaen"/>
          <w:lang w:val="ka-GE"/>
        </w:rPr>
        <w:t>,</w:t>
      </w:r>
      <w:r w:rsidR="00377050" w:rsidRPr="00D02251">
        <w:rPr>
          <w:rFonts w:ascii="Sylfaen" w:hAnsi="Sylfaen" w:cs="Sylfaen"/>
          <w:lang w:val="ka-GE"/>
        </w:rPr>
        <w:t xml:space="preserve"> </w:t>
      </w:r>
      <w:r w:rsidR="009D69D8" w:rsidRPr="00D02251">
        <w:rPr>
          <w:rFonts w:ascii="Sylfaen" w:hAnsi="Sylfaen" w:cs="Sylfaen"/>
          <w:lang w:val="ka-GE"/>
        </w:rPr>
        <w:t xml:space="preserve">უნდა </w:t>
      </w:r>
      <w:r w:rsidR="003D433B">
        <w:rPr>
          <w:rFonts w:ascii="Sylfaen" w:hAnsi="Sylfaen" w:cs="Sylfaen"/>
          <w:lang w:val="ka-GE"/>
        </w:rPr>
        <w:t>ჰ</w:t>
      </w:r>
      <w:r w:rsidR="009D69D8" w:rsidRPr="00D02251">
        <w:rPr>
          <w:rFonts w:ascii="Sylfaen" w:hAnsi="Sylfaen" w:cs="Sylfaen"/>
          <w:lang w:val="ka-GE"/>
        </w:rPr>
        <w:t>ყავდეს ოჯახის ექიმი</w:t>
      </w:r>
      <w:r w:rsidR="009559C3">
        <w:rPr>
          <w:rFonts w:ascii="Sylfaen" w:hAnsi="Sylfaen" w:cs="Sylfaen"/>
          <w:lang w:val="ka-GE"/>
        </w:rPr>
        <w:t>;</w:t>
      </w:r>
      <w:r w:rsidR="00E54F07" w:rsidRPr="00D02251">
        <w:rPr>
          <w:rFonts w:ascii="Sylfaen" w:hAnsi="Sylfaen" w:cs="Sylfaen"/>
          <w:lang w:val="ka-GE"/>
        </w:rPr>
        <w:t xml:space="preserve"> </w:t>
      </w:r>
      <w:r w:rsidR="005854C1" w:rsidRPr="00D02251">
        <w:rPr>
          <w:rFonts w:ascii="Sylfaen" w:hAnsi="Sylfaen" w:cs="Sylfaen"/>
          <w:lang w:val="ka-GE"/>
        </w:rPr>
        <w:t>ასევე</w:t>
      </w:r>
      <w:r w:rsidR="00E54F07" w:rsidRPr="00D02251">
        <w:rPr>
          <w:rFonts w:ascii="Sylfaen" w:hAnsi="Sylfaen" w:cs="Sylfaen"/>
          <w:lang w:val="ka-GE"/>
        </w:rPr>
        <w:t>,</w:t>
      </w:r>
      <w:r w:rsidR="009E3FE8" w:rsidRPr="00D02251">
        <w:rPr>
          <w:rFonts w:ascii="Sylfaen" w:hAnsi="Sylfaen" w:cs="Sylfaen"/>
          <w:lang w:val="ka-GE"/>
        </w:rPr>
        <w:t xml:space="preserve"> </w:t>
      </w:r>
      <w:r w:rsidR="005854C1" w:rsidRPr="00D02251">
        <w:rPr>
          <w:rFonts w:ascii="Sylfaen" w:hAnsi="Sylfaen" w:cs="Sylfaen"/>
          <w:lang w:val="ka-GE"/>
        </w:rPr>
        <w:t>მაქსიმალურად უნდა შე</w:t>
      </w:r>
      <w:r w:rsidR="00744195">
        <w:rPr>
          <w:rFonts w:ascii="Sylfaen" w:hAnsi="Sylfaen" w:cs="Sylfaen"/>
          <w:lang w:val="ka-GE"/>
        </w:rPr>
        <w:t>ე</w:t>
      </w:r>
      <w:r w:rsidR="005854C1" w:rsidRPr="00D02251">
        <w:rPr>
          <w:rFonts w:ascii="Sylfaen" w:hAnsi="Sylfaen" w:cs="Sylfaen"/>
          <w:lang w:val="ka-GE"/>
        </w:rPr>
        <w:t xml:space="preserve">ძლოს რეგიონების დაფარვაც, რათა მოქნილად შეძლოს რეგიონებში არსებულ </w:t>
      </w:r>
      <w:r w:rsidR="0040349E">
        <w:rPr>
          <w:rFonts w:ascii="Sylfaen" w:hAnsi="Sylfaen" w:cs="Sylfaen"/>
          <w:lang w:val="ka-GE"/>
        </w:rPr>
        <w:t xml:space="preserve">მომხმარებელთა </w:t>
      </w:r>
      <w:r w:rsidR="005854C1" w:rsidRPr="00D02251">
        <w:rPr>
          <w:rFonts w:ascii="Sylfaen" w:hAnsi="Sylfaen" w:cs="Sylfaen"/>
          <w:lang w:val="ka-GE"/>
        </w:rPr>
        <w:t xml:space="preserve"> მომსახურება (</w:t>
      </w:r>
      <w:r w:rsidR="003C182A">
        <w:rPr>
          <w:rFonts w:ascii="Sylfaen" w:hAnsi="Sylfaen" w:cs="Sylfaen"/>
          <w:lang w:val="ka-GE"/>
        </w:rPr>
        <w:t>სერვისცენტრების/ოფისების</w:t>
      </w:r>
      <w:r w:rsidR="005854C1" w:rsidRPr="00D02251">
        <w:rPr>
          <w:rFonts w:ascii="Sylfaen" w:hAnsi="Sylfaen" w:cs="Sylfaen"/>
          <w:lang w:val="ka-GE"/>
        </w:rPr>
        <w:t xml:space="preserve"> ჩამონათვალი/მისამართებით იხ. დანართ</w:t>
      </w:r>
      <w:r w:rsidR="003D433B">
        <w:rPr>
          <w:rFonts w:ascii="Sylfaen" w:hAnsi="Sylfaen" w:cs="Sylfaen"/>
          <w:lang w:val="ka-GE"/>
        </w:rPr>
        <w:t>ში</w:t>
      </w:r>
      <w:r w:rsidR="00F937BD">
        <w:rPr>
          <w:rFonts w:ascii="Sylfaen" w:hAnsi="Sylfaen" w:cs="Sylfaen"/>
          <w:lang w:val="ka-GE"/>
        </w:rPr>
        <w:t xml:space="preserve"> №1</w:t>
      </w:r>
      <w:r w:rsidR="005854C1" w:rsidRPr="00D02251">
        <w:rPr>
          <w:rFonts w:ascii="Sylfaen" w:hAnsi="Sylfaen" w:cs="Sylfaen"/>
          <w:lang w:val="ka-GE"/>
        </w:rPr>
        <w:t>)</w:t>
      </w:r>
      <w:r w:rsidR="00E54F07" w:rsidRPr="00D02251">
        <w:rPr>
          <w:rFonts w:ascii="Sylfaen" w:hAnsi="Sylfaen" w:cs="Sylfaen"/>
          <w:lang w:val="ka-GE"/>
        </w:rPr>
        <w:t>;</w:t>
      </w:r>
    </w:p>
    <w:p w14:paraId="12C86934" w14:textId="77777777" w:rsidR="00347383" w:rsidRDefault="00E54F07" w:rsidP="00BE7DEA">
      <w:pPr>
        <w:pStyle w:val="ListParagraph"/>
        <w:numPr>
          <w:ilvl w:val="0"/>
          <w:numId w:val="37"/>
        </w:numPr>
        <w:jc w:val="both"/>
        <w:rPr>
          <w:rFonts w:ascii="Sylfaen" w:hAnsi="Sylfaen" w:cs="Sylfaen"/>
          <w:lang w:val="ka-GE"/>
        </w:rPr>
      </w:pPr>
      <w:r w:rsidRPr="00D02251">
        <w:rPr>
          <w:rFonts w:ascii="Sylfaen" w:hAnsi="Sylfaen" w:cs="Sylfaen"/>
          <w:lang w:val="ka-GE"/>
        </w:rPr>
        <w:t xml:space="preserve">დაზღვეულს უნდა შეეძლოს მიმართოს ნებისმიერ სამედიცინო დაწესებულებას, რომელსაც საქართველოს კანონმდებლობით მინიჭებული აქვს სამედიცინო მომსახურების გაწევის უფლება, </w:t>
      </w:r>
      <w:r w:rsidR="009D69D8" w:rsidRPr="00D02251">
        <w:rPr>
          <w:rFonts w:ascii="Sylfaen" w:hAnsi="Sylfaen" w:cs="Sylfaen"/>
          <w:lang w:val="ka-GE"/>
        </w:rPr>
        <w:t>ხოლო მზღვეველის პროვაიდერ კლინიკებში მომსახურება უნდა მიიღოს საფასურის გარეშე  ოჯახის ექიმის მიმართ</w:t>
      </w:r>
      <w:r w:rsidR="00B70978" w:rsidRPr="00D02251">
        <w:rPr>
          <w:rFonts w:ascii="Sylfaen" w:hAnsi="Sylfaen" w:cs="Sylfaen"/>
          <w:lang w:val="ka-GE"/>
        </w:rPr>
        <w:t>ვ</w:t>
      </w:r>
      <w:r w:rsidR="009D69D8" w:rsidRPr="00D02251">
        <w:rPr>
          <w:rFonts w:ascii="Sylfaen" w:hAnsi="Sylfaen" w:cs="Sylfaen"/>
          <w:lang w:val="ka-GE"/>
        </w:rPr>
        <w:t xml:space="preserve">ის საფუძველზე, </w:t>
      </w:r>
      <w:r w:rsidRPr="00D02251">
        <w:rPr>
          <w:rFonts w:ascii="Sylfaen" w:hAnsi="Sylfaen" w:cs="Sylfaen"/>
          <w:lang w:val="ka-GE"/>
        </w:rPr>
        <w:t>აქედან</w:t>
      </w:r>
      <w:r w:rsidRPr="00347383">
        <w:rPr>
          <w:rFonts w:ascii="Sylfaen" w:hAnsi="Sylfaen" w:cs="Sylfaen"/>
          <w:lang w:val="ka-GE"/>
        </w:rPr>
        <w:t xml:space="preserve"> გამომდინარე პრეტენდენტმა კომპანიებმა უნდა წარმოადგინონ პროვაიდერი კლინიკების სრულყოფილი ჩამონათვალი</w:t>
      </w:r>
      <w:r w:rsidR="00CA6DD4" w:rsidRPr="00347383">
        <w:rPr>
          <w:rFonts w:ascii="Sylfaen" w:hAnsi="Sylfaen" w:cs="Sylfaen"/>
          <w:lang w:val="ka-GE"/>
        </w:rPr>
        <w:t>;</w:t>
      </w:r>
    </w:p>
    <w:p w14:paraId="5142FCB7" w14:textId="0F618062" w:rsidR="00BE7DEA" w:rsidRDefault="00BE7DEA" w:rsidP="00BE7DEA">
      <w:pPr>
        <w:pStyle w:val="ListParagraph"/>
        <w:ind w:left="1440"/>
        <w:jc w:val="both"/>
        <w:rPr>
          <w:rFonts w:ascii="Sylfaen" w:hAnsi="Sylfaen" w:cs="Sylfaen"/>
          <w:color w:val="1F4E79" w:themeColor="accent1" w:themeShade="80"/>
          <w:lang w:val="ka-GE"/>
        </w:rPr>
      </w:pPr>
    </w:p>
    <w:p w14:paraId="2A86DA17" w14:textId="34754D04" w:rsidR="000D22C3" w:rsidRDefault="000D22C3" w:rsidP="00BE7DEA">
      <w:pPr>
        <w:pStyle w:val="ListParagraph"/>
        <w:ind w:left="1440"/>
        <w:jc w:val="both"/>
        <w:rPr>
          <w:rFonts w:ascii="Sylfaen" w:hAnsi="Sylfaen" w:cs="Sylfaen"/>
          <w:color w:val="1F4E79" w:themeColor="accent1" w:themeShade="80"/>
          <w:lang w:val="ka-GE"/>
        </w:rPr>
      </w:pPr>
    </w:p>
    <w:p w14:paraId="13185ECF" w14:textId="77777777" w:rsidR="000D22C3" w:rsidRPr="00347383" w:rsidRDefault="000D22C3" w:rsidP="00BE7DEA">
      <w:pPr>
        <w:pStyle w:val="ListParagraph"/>
        <w:ind w:left="1440"/>
        <w:jc w:val="both"/>
        <w:rPr>
          <w:rFonts w:ascii="Sylfaen" w:hAnsi="Sylfaen" w:cs="Sylfaen"/>
          <w:color w:val="1F4E79" w:themeColor="accent1" w:themeShade="80"/>
          <w:lang w:val="ka-GE"/>
        </w:rPr>
      </w:pPr>
    </w:p>
    <w:p w14:paraId="2F6ED6AE" w14:textId="77777777" w:rsidR="005854C1" w:rsidRPr="00347383" w:rsidRDefault="001762C1" w:rsidP="0087577D">
      <w:pPr>
        <w:pStyle w:val="ListParagraph"/>
        <w:shd w:val="clear" w:color="auto" w:fill="FFFFFF"/>
        <w:spacing w:after="0" w:line="276" w:lineRule="auto"/>
        <w:rPr>
          <w:rFonts w:ascii="Sylfaen" w:hAnsi="Sylfaen" w:cs="Sylfaen"/>
          <w:b/>
          <w:lang w:val="ka-GE"/>
        </w:rPr>
      </w:pPr>
      <w:r w:rsidRPr="00347383">
        <w:rPr>
          <w:rFonts w:ascii="Sylfaen" w:hAnsi="Sylfaen" w:cs="Sylfaen"/>
          <w:b/>
          <w:lang w:val="ka-GE"/>
        </w:rPr>
        <w:t>სადაზღვევო პოლისის მინიმალური მოთხოვნები</w:t>
      </w:r>
    </w:p>
    <w:p w14:paraId="78E6CB9A" w14:textId="77777777" w:rsidR="0039676F" w:rsidRDefault="0039676F" w:rsidP="00810C50">
      <w:pPr>
        <w:spacing w:after="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ჯანმრთელობის დაზღვევა უნდა ითვალისწინებდეს შემდეგ </w:t>
      </w:r>
      <w:r w:rsidR="00347383">
        <w:rPr>
          <w:rFonts w:ascii="Sylfaen" w:hAnsi="Sylfaen"/>
          <w:lang w:val="ka-GE"/>
        </w:rPr>
        <w:t>მომსახურებებს:</w:t>
      </w:r>
    </w:p>
    <w:p w14:paraId="491DDB77" w14:textId="77777777" w:rsidR="00D35970" w:rsidRPr="00D41D1A" w:rsidRDefault="00AC0D09" w:rsidP="00810C50">
      <w:pPr>
        <w:pStyle w:val="ListParagraph"/>
        <w:numPr>
          <w:ilvl w:val="0"/>
          <w:numId w:val="38"/>
        </w:numPr>
        <w:spacing w:after="0"/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24 საათიანი სატელეფონო მომსახურება</w:t>
      </w:r>
    </w:p>
    <w:p w14:paraId="2BADA5A2" w14:textId="77777777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სასწრაფო სამედიცინო დახმარება</w:t>
      </w:r>
    </w:p>
    <w:p w14:paraId="1075088A" w14:textId="77777777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პირადი ექიმის მომსახურება</w:t>
      </w:r>
    </w:p>
    <w:p w14:paraId="3880B44C" w14:textId="0D41D156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ჰოსპიტალური და ამბულატორიული მომსახურება</w:t>
      </w:r>
    </w:p>
    <w:p w14:paraId="3108775B" w14:textId="1F8E08D0" w:rsidR="00794AAE" w:rsidRPr="00D41D1A" w:rsidRDefault="00794AAE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ონკოლოგიური მკურნალობა</w:t>
      </w:r>
    </w:p>
    <w:p w14:paraId="3C919CCE" w14:textId="77777777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პროფილაქტიკური შემოწმება</w:t>
      </w:r>
    </w:p>
    <w:p w14:paraId="39395278" w14:textId="77777777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მედიკამენტური მკურნალობა</w:t>
      </w:r>
    </w:p>
    <w:p w14:paraId="671D91F2" w14:textId="24E1D086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სტომატოლოგია</w:t>
      </w:r>
    </w:p>
    <w:p w14:paraId="06095F47" w14:textId="08F86FB9" w:rsidR="00221268" w:rsidRPr="00D41D1A" w:rsidRDefault="00221268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ორსულობა-მშობიარობა</w:t>
      </w:r>
    </w:p>
    <w:p w14:paraId="7474CE46" w14:textId="190EB822" w:rsidR="00AC0D09" w:rsidRPr="00D41D1A" w:rsidRDefault="00AC0D09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lastRenderedPageBreak/>
        <w:t xml:space="preserve">სამოგზაურო დაზღვევა </w:t>
      </w:r>
    </w:p>
    <w:p w14:paraId="64BABD00" w14:textId="3B4C2956" w:rsidR="004C7893" w:rsidRPr="00D41D1A" w:rsidRDefault="004C7893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უბედური შემთხვევის დაზღვევა</w:t>
      </w:r>
    </w:p>
    <w:p w14:paraId="73DAAB38" w14:textId="3D505C4B" w:rsidR="00794AAE" w:rsidRDefault="00794AAE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 w:rsidRPr="00D41D1A">
        <w:rPr>
          <w:rFonts w:ascii="Sylfaen" w:hAnsi="Sylfaen"/>
          <w:color w:val="FF6600"/>
          <w:lang w:val="ka-GE"/>
        </w:rPr>
        <w:t>საზღვარგარეთ მკურნალობა</w:t>
      </w:r>
    </w:p>
    <w:p w14:paraId="4EF18C00" w14:textId="22E17D36" w:rsidR="000721CC" w:rsidRDefault="000721CC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>
        <w:rPr>
          <w:rFonts w:ascii="Sylfaen" w:hAnsi="Sylfaen"/>
          <w:color w:val="FF6600"/>
          <w:lang w:val="ka-GE"/>
        </w:rPr>
        <w:t>ონლაინ ანაზღაურება</w:t>
      </w:r>
    </w:p>
    <w:p w14:paraId="3F8D3F55" w14:textId="07C5CA42" w:rsidR="00E83294" w:rsidRPr="00D41D1A" w:rsidRDefault="00E83294" w:rsidP="00BE7DEA">
      <w:pPr>
        <w:pStyle w:val="ListParagraph"/>
        <w:numPr>
          <w:ilvl w:val="0"/>
          <w:numId w:val="38"/>
        </w:numPr>
        <w:rPr>
          <w:rFonts w:ascii="Sylfaen" w:hAnsi="Sylfaen"/>
          <w:color w:val="FF6600"/>
          <w:lang w:val="ka-GE"/>
        </w:rPr>
      </w:pPr>
      <w:r>
        <w:rPr>
          <w:rFonts w:ascii="Sylfaen" w:hAnsi="Sylfaen"/>
          <w:color w:val="FF6600"/>
        </w:rPr>
        <w:t xml:space="preserve">Covid-19-თან </w:t>
      </w:r>
      <w:r>
        <w:rPr>
          <w:rFonts w:ascii="Sylfaen" w:hAnsi="Sylfaen"/>
          <w:color w:val="FF6600"/>
          <w:lang w:val="ka-GE"/>
        </w:rPr>
        <w:t>დაკავშირებული მკურნალობა</w:t>
      </w:r>
    </w:p>
    <w:p w14:paraId="401A39B5" w14:textId="46CAC6B9" w:rsidR="00347383" w:rsidRDefault="001762C1" w:rsidP="001762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კომპანიამ </w:t>
      </w:r>
      <w:r w:rsidRPr="009559C3">
        <w:rPr>
          <w:rFonts w:ascii="Sylfaen" w:hAnsi="Sylfaen"/>
          <w:u w:val="single"/>
          <w:lang w:val="ka-GE"/>
        </w:rPr>
        <w:t xml:space="preserve">ცალკე </w:t>
      </w:r>
      <w:r w:rsidR="003D433B">
        <w:rPr>
          <w:rFonts w:ascii="Sylfaen" w:hAnsi="Sylfaen"/>
          <w:u w:val="single"/>
          <w:lang w:val="ka-GE"/>
        </w:rPr>
        <w:t>დოკუმენტები</w:t>
      </w:r>
      <w:r w:rsidRPr="009559C3">
        <w:rPr>
          <w:rFonts w:ascii="Sylfaen" w:hAnsi="Sylfaen"/>
          <w:u w:val="single"/>
          <w:lang w:val="ka-GE"/>
        </w:rPr>
        <w:t>ს სახით უნდა ატვირთოს</w:t>
      </w:r>
      <w:r w:rsidR="00347383">
        <w:rPr>
          <w:rFonts w:ascii="Sylfaen" w:hAnsi="Sylfaen"/>
          <w:lang w:val="ka-GE"/>
        </w:rPr>
        <w:t xml:space="preserve"> შემდეგი ინფორმაცია:</w:t>
      </w:r>
    </w:p>
    <w:p w14:paraId="4924AC58" w14:textId="77777777" w:rsidR="00347383" w:rsidRPr="00347383" w:rsidRDefault="001762C1" w:rsidP="00810C50">
      <w:pPr>
        <w:pStyle w:val="ListParagraph"/>
        <w:numPr>
          <w:ilvl w:val="0"/>
          <w:numId w:val="43"/>
        </w:numPr>
        <w:rPr>
          <w:rFonts w:ascii="Sylfaen" w:hAnsi="Sylfaen"/>
        </w:rPr>
      </w:pPr>
      <w:r w:rsidRPr="00347383">
        <w:rPr>
          <w:rFonts w:ascii="Sylfaen" w:hAnsi="Sylfaen" w:cs="Sylfaen"/>
          <w:lang w:val="ka-GE"/>
        </w:rPr>
        <w:t>ყველა</w:t>
      </w:r>
      <w:r w:rsidRPr="00347383">
        <w:rPr>
          <w:rFonts w:ascii="Sylfaen" w:hAnsi="Sylfaen"/>
          <w:lang w:val="ka-GE"/>
        </w:rPr>
        <w:t xml:space="preserve"> ზემოთ ჩამოთვლილი მომსახურების დეტალური </w:t>
      </w:r>
      <w:r w:rsidR="00347383" w:rsidRPr="00347383">
        <w:rPr>
          <w:rFonts w:ascii="Sylfaen" w:hAnsi="Sylfaen"/>
          <w:lang w:val="ka-GE"/>
        </w:rPr>
        <w:t xml:space="preserve">ჩამონათვალი, თუ რას ითვალისწინებს კონკრეტული მომსახურება სადაზღვევო პოლისების კატეგორიების მიხედვით; </w:t>
      </w:r>
    </w:p>
    <w:p w14:paraId="1EF492C6" w14:textId="77777777" w:rsidR="001762C1" w:rsidRPr="00347383" w:rsidRDefault="001762C1" w:rsidP="00810C50">
      <w:pPr>
        <w:pStyle w:val="ListParagraph"/>
        <w:numPr>
          <w:ilvl w:val="0"/>
          <w:numId w:val="43"/>
        </w:numPr>
        <w:rPr>
          <w:rFonts w:ascii="Sylfaen" w:hAnsi="Sylfaen"/>
        </w:rPr>
      </w:pPr>
      <w:r w:rsidRPr="00347383">
        <w:rPr>
          <w:rFonts w:ascii="Sylfaen" w:hAnsi="Sylfaen"/>
          <w:lang w:val="ka-GE"/>
        </w:rPr>
        <w:t xml:space="preserve">გამონაკლისების ჩამონათვალი </w:t>
      </w:r>
      <w:r w:rsidR="00E14B33" w:rsidRPr="00347383">
        <w:rPr>
          <w:rFonts w:ascii="Sylfaen" w:hAnsi="Sylfaen"/>
          <w:lang w:val="ka-GE"/>
        </w:rPr>
        <w:t xml:space="preserve">სადაზღვევო </w:t>
      </w:r>
      <w:r w:rsidRPr="00347383">
        <w:rPr>
          <w:rFonts w:ascii="Sylfaen" w:hAnsi="Sylfaen"/>
          <w:lang w:val="ka-GE"/>
        </w:rPr>
        <w:t>პოლის</w:t>
      </w:r>
      <w:r w:rsidR="00134527" w:rsidRPr="00347383">
        <w:rPr>
          <w:rFonts w:ascii="Sylfaen" w:hAnsi="Sylfaen"/>
          <w:lang w:val="ka-GE"/>
        </w:rPr>
        <w:t>ების კატეგორიების</w:t>
      </w:r>
      <w:r w:rsidRPr="00347383">
        <w:rPr>
          <w:rFonts w:ascii="Sylfaen" w:hAnsi="Sylfaen"/>
          <w:lang w:val="ka-GE"/>
        </w:rPr>
        <w:t xml:space="preserve"> მიხედვით</w:t>
      </w:r>
      <w:r w:rsidR="00E14B33" w:rsidRPr="00347383">
        <w:rPr>
          <w:rFonts w:ascii="Sylfaen" w:hAnsi="Sylfaen"/>
        </w:rPr>
        <w:t>.</w:t>
      </w:r>
    </w:p>
    <w:p w14:paraId="27AF7180" w14:textId="7B8BEC36" w:rsidR="00B17779" w:rsidRPr="0058059F" w:rsidRDefault="00B17779" w:rsidP="000B7130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6" w:name="_Toc470080985"/>
      <w:bookmarkStart w:id="7" w:name="_Toc12615107"/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დამატებითი მოთხოვნები</w:t>
      </w:r>
      <w:bookmarkEnd w:id="6"/>
      <w:bookmarkEnd w:id="7"/>
    </w:p>
    <w:p w14:paraId="10A1FE7D" w14:textId="66272A70" w:rsidR="00595AC1" w:rsidRPr="00A1212C" w:rsidRDefault="00E67714" w:rsidP="001A6AA5">
      <w:pPr>
        <w:pStyle w:val="ListParagraph"/>
        <w:numPr>
          <w:ilvl w:val="0"/>
          <w:numId w:val="36"/>
        </w:num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სადაზღვევო პოლისის</w:t>
      </w:r>
      <w:r w:rsidR="007B7D08">
        <w:rPr>
          <w:rFonts w:ascii="Sylfaen" w:hAnsi="Sylfaen"/>
          <w:lang w:val="ka-GE"/>
        </w:rPr>
        <w:t xml:space="preserve"> ძალაში შე</w:t>
      </w:r>
      <w:r>
        <w:rPr>
          <w:rFonts w:ascii="Sylfaen" w:hAnsi="Sylfaen"/>
          <w:lang w:val="ka-GE"/>
        </w:rPr>
        <w:t xml:space="preserve">სვლა - ე.წ. </w:t>
      </w:r>
      <w:r w:rsidR="007B7D08">
        <w:rPr>
          <w:rFonts w:ascii="Sylfaen" w:hAnsi="Sylfaen"/>
          <w:lang w:val="ka-GE"/>
        </w:rPr>
        <w:t>მოცდის პერიოდის გარეშე</w:t>
      </w:r>
      <w:r w:rsidR="00595AC1">
        <w:rPr>
          <w:rFonts w:ascii="Sylfaen" w:hAnsi="Sylfaen"/>
        </w:rPr>
        <w:t>;</w:t>
      </w:r>
    </w:p>
    <w:p w14:paraId="0793E820" w14:textId="2EA0E239" w:rsidR="00A1212C" w:rsidRPr="00595AC1" w:rsidRDefault="00A1212C" w:rsidP="001A6AA5">
      <w:pPr>
        <w:pStyle w:val="ListParagraph"/>
        <w:numPr>
          <w:ilvl w:val="0"/>
          <w:numId w:val="3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თანდაყოლილი და დაზღვევამდე  არსებული დაავადებების ანაზღაურება;</w:t>
      </w:r>
    </w:p>
    <w:p w14:paraId="4BDD6088" w14:textId="77777777" w:rsidR="007B7D08" w:rsidRDefault="007B7D08" w:rsidP="001A6AA5">
      <w:pPr>
        <w:pStyle w:val="ListParagraph"/>
        <w:numPr>
          <w:ilvl w:val="0"/>
          <w:numId w:val="3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გამონაკლისი შემთხვევების ასანაზღაურებლად ფონდი</w:t>
      </w:r>
      <w:r w:rsidR="00CD61F0">
        <w:rPr>
          <w:rFonts w:ascii="Sylfaen" w:hAnsi="Sylfaen" w:cs="Sylfaen"/>
          <w:lang w:val="ka-GE"/>
        </w:rPr>
        <w:t>ს გამოყოფა</w:t>
      </w:r>
      <w:r>
        <w:rPr>
          <w:rFonts w:ascii="Sylfaen" w:hAnsi="Sylfaen" w:cs="Sylfaen"/>
          <w:lang w:val="ka-GE"/>
        </w:rPr>
        <w:t xml:space="preserve"> </w:t>
      </w:r>
      <w:r w:rsidR="00595AC1">
        <w:rPr>
          <w:rFonts w:ascii="Sylfaen" w:hAnsi="Sylfaen" w:cs="Sylfaen"/>
        </w:rPr>
        <w:t xml:space="preserve">- </w:t>
      </w:r>
      <w:r w:rsidR="00595AC1">
        <w:rPr>
          <w:rFonts w:ascii="Sylfaen" w:hAnsi="Sylfaen" w:cs="Sylfaen"/>
          <w:lang w:val="ka-GE"/>
        </w:rPr>
        <w:t>ფონდის მოცულობის მითითებით;</w:t>
      </w:r>
    </w:p>
    <w:p w14:paraId="06CD1076" w14:textId="77777777" w:rsidR="006222CC" w:rsidRDefault="006222CC" w:rsidP="001A6AA5">
      <w:pPr>
        <w:pStyle w:val="ListParagraph"/>
        <w:numPr>
          <w:ilvl w:val="0"/>
          <w:numId w:val="3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დაზღვეულთა მინიმალური და მაქსიმალური ასაკის ზღვარი</w:t>
      </w:r>
      <w:r w:rsidR="00595AC1">
        <w:rPr>
          <w:rFonts w:ascii="Sylfaen" w:hAnsi="Sylfaen" w:cs="Sylfaen"/>
          <w:lang w:val="ka-GE"/>
        </w:rPr>
        <w:t>ს მითითება</w:t>
      </w:r>
      <w:r>
        <w:rPr>
          <w:rFonts w:ascii="Sylfaen" w:hAnsi="Sylfaen" w:cs="Sylfaen"/>
          <w:lang w:val="ka-GE"/>
        </w:rPr>
        <w:t xml:space="preserve"> (ასეთის არსებობის შემთხვევაში)</w:t>
      </w:r>
      <w:r w:rsidR="00595AC1">
        <w:rPr>
          <w:rFonts w:ascii="Sylfaen" w:hAnsi="Sylfaen" w:cs="Sylfaen"/>
          <w:lang w:val="ka-GE"/>
        </w:rPr>
        <w:t>;</w:t>
      </w:r>
    </w:p>
    <w:p w14:paraId="1C0CCB29" w14:textId="751CDDC4" w:rsidR="000477D3" w:rsidRPr="0058059F" w:rsidRDefault="000477D3" w:rsidP="000B7130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8" w:name="_Toc422608347"/>
      <w:bookmarkStart w:id="9" w:name="_Toc12615109"/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გამარჯვებულის გამოვლენა</w:t>
      </w:r>
      <w:bookmarkEnd w:id="8"/>
      <w:bookmarkEnd w:id="9"/>
    </w:p>
    <w:p w14:paraId="31DA95A6" w14:textId="45AD702C" w:rsidR="006E4832" w:rsidRPr="00CA1D7C" w:rsidRDefault="00BB4A97" w:rsidP="009D4B7C">
      <w:pPr>
        <w:jc w:val="both"/>
        <w:rPr>
          <w:rFonts w:ascii="Sylfaen" w:hAnsi="Sylfaen"/>
          <w:lang w:val="ka-GE"/>
        </w:rPr>
      </w:pPr>
      <w:r w:rsidRPr="002C60F3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>
        <w:rPr>
          <w:rFonts w:ascii="Sylfaen" w:hAnsi="Sylfaen"/>
          <w:lang w:val="ka-GE"/>
        </w:rPr>
        <w:t>პირებმა</w:t>
      </w:r>
      <w:r w:rsidRPr="002C60F3">
        <w:rPr>
          <w:rFonts w:ascii="Sylfaen" w:hAnsi="Sylfaen"/>
          <w:lang w:val="ka-GE"/>
        </w:rPr>
        <w:t xml:space="preserve"> წინადადებები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2C60F3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 xml:space="preserve">– </w:t>
      </w:r>
      <w:hyperlink r:id="rId8" w:history="1">
        <w:r w:rsidRPr="002C60F3">
          <w:rPr>
            <w:rStyle w:val="Hyperlink"/>
            <w:rFonts w:ascii="Sylfaen" w:hAnsi="Sylfaen"/>
            <w:lang w:val="ka-GE"/>
          </w:rPr>
          <w:t>tenders.ge</w:t>
        </w:r>
      </w:hyperlink>
      <w:r w:rsidRPr="002C60F3">
        <w:rPr>
          <w:rFonts w:ascii="Sylfaen" w:hAnsi="Sylfaen"/>
          <w:lang w:val="ka-GE"/>
        </w:rPr>
        <w:t xml:space="preserve"> –ს საშუალებით. ტენდერი ჩატარდება ეგრე</w:t>
      </w:r>
      <w:r w:rsidR="00754751" w:rsidRPr="002C60F3">
        <w:rPr>
          <w:rFonts w:ascii="Sylfaen" w:hAnsi="Sylfaen"/>
          <w:lang w:val="ka-GE"/>
        </w:rPr>
        <w:t>თ</w:t>
      </w:r>
      <w:r w:rsidR="004A615D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2C60F3">
        <w:rPr>
          <w:rStyle w:val="FootnoteReference"/>
          <w:rFonts w:ascii="Sylfaen" w:hAnsi="Sylfaen"/>
          <w:lang w:val="ka-GE"/>
        </w:rPr>
        <w:footnoteReference w:id="1"/>
      </w:r>
      <w:r w:rsidR="00CA1D7C">
        <w:rPr>
          <w:rFonts w:ascii="Sylfaen" w:hAnsi="Sylfaen"/>
          <w:lang w:val="ka-GE"/>
        </w:rPr>
        <w:t>.</w:t>
      </w:r>
    </w:p>
    <w:p w14:paraId="29ABCC29" w14:textId="0AA5C0DB" w:rsidR="00902F36" w:rsidRPr="00D02251" w:rsidRDefault="00996E05" w:rsidP="009D4B7C">
      <w:pPr>
        <w:jc w:val="both"/>
        <w:rPr>
          <w:rFonts w:ascii="Sylfaen" w:hAnsi="Sylfaen"/>
          <w:b/>
          <w:lang w:val="ka-GE"/>
        </w:rPr>
      </w:pPr>
      <w:r w:rsidRPr="002C60F3">
        <w:rPr>
          <w:rFonts w:ascii="Sylfaen" w:hAnsi="Sylfaen"/>
          <w:lang w:val="ka-GE"/>
        </w:rPr>
        <w:t>სატენდერო კომი</w:t>
      </w:r>
      <w:r w:rsidR="004A615D">
        <w:rPr>
          <w:rFonts w:ascii="Sylfaen" w:hAnsi="Sylfaen"/>
          <w:lang w:val="ka-GE"/>
        </w:rPr>
        <w:t>ტეტი</w:t>
      </w:r>
      <w:r w:rsidRPr="002C60F3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2C60F3">
          <w:rPr>
            <w:rStyle w:val="Hyperlink"/>
            <w:rFonts w:ascii="Sylfaen" w:hAnsi="Sylfaen"/>
            <w:lang w:val="de-DE"/>
          </w:rPr>
          <w:t>tenders.ge</w:t>
        </w:r>
      </w:hyperlink>
      <w:r w:rsidR="001375D8" w:rsidRPr="002C60F3">
        <w:rPr>
          <w:rFonts w:ascii="Sylfaen" w:hAnsi="Sylfaen"/>
          <w:lang w:val="de-DE"/>
        </w:rPr>
        <w:t xml:space="preserve"> -</w:t>
      </w:r>
      <w:r w:rsidR="001375D8" w:rsidRPr="002C60F3">
        <w:rPr>
          <w:rFonts w:ascii="Sylfaen" w:hAnsi="Sylfaen"/>
          <w:lang w:val="ka-GE"/>
        </w:rPr>
        <w:t>ს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საშუალებით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წარ</w:t>
      </w:r>
      <w:r w:rsidR="005007D0" w:rsidRPr="002C60F3">
        <w:rPr>
          <w:rFonts w:ascii="Sylfaen" w:hAnsi="Sylfaen"/>
          <w:lang w:val="ka-GE"/>
        </w:rPr>
        <w:t>მო</w:t>
      </w:r>
      <w:r w:rsidR="001375D8" w:rsidRPr="002C60F3">
        <w:rPr>
          <w:rFonts w:ascii="Sylfaen" w:hAnsi="Sylfaen"/>
          <w:lang w:val="ka-GE"/>
        </w:rPr>
        <w:t>დგენილ</w:t>
      </w:r>
      <w:r w:rsidR="001375D8" w:rsidRPr="002C60F3">
        <w:rPr>
          <w:rFonts w:ascii="Sylfaen" w:hAnsi="Sylfaen"/>
          <w:lang w:val="de-DE"/>
        </w:rPr>
        <w:t xml:space="preserve"> </w:t>
      </w:r>
      <w:r w:rsidRPr="002C60F3">
        <w:rPr>
          <w:rFonts w:ascii="Sylfaen" w:hAnsi="Sylfaen"/>
          <w:lang w:val="ka-GE"/>
        </w:rPr>
        <w:t xml:space="preserve">ყველა სატენდერო </w:t>
      </w:r>
      <w:r w:rsidR="001375D8" w:rsidRPr="00D02251">
        <w:rPr>
          <w:rFonts w:ascii="Sylfaen" w:hAnsi="Sylfaen"/>
          <w:lang w:val="ka-GE"/>
        </w:rPr>
        <w:t>წინადადებას</w:t>
      </w:r>
      <w:r w:rsidRPr="00D02251">
        <w:rPr>
          <w:rFonts w:ascii="Sylfaen" w:hAnsi="Sylfaen"/>
          <w:lang w:val="ka-GE"/>
        </w:rPr>
        <w:t xml:space="preserve"> და </w:t>
      </w:r>
      <w:r w:rsidR="005007D0" w:rsidRPr="00D8365F">
        <w:rPr>
          <w:rFonts w:ascii="Sylfaen" w:hAnsi="Sylfaen"/>
          <w:lang w:val="ka-GE"/>
        </w:rPr>
        <w:t>გამარჯვებულად გამო</w:t>
      </w:r>
      <w:r w:rsidR="004502DD" w:rsidRPr="00D8365F">
        <w:rPr>
          <w:rFonts w:ascii="Sylfaen" w:hAnsi="Sylfaen"/>
          <w:lang w:val="ka-GE"/>
        </w:rPr>
        <w:t>ავლენს</w:t>
      </w:r>
      <w:r w:rsidR="005007D0" w:rsidRPr="00D8365F">
        <w:rPr>
          <w:rFonts w:ascii="Sylfaen" w:hAnsi="Sylfaen"/>
          <w:lang w:val="ka-GE"/>
        </w:rPr>
        <w:t xml:space="preserve"> </w:t>
      </w:r>
      <w:r w:rsidR="001D6133" w:rsidRPr="00D8365F">
        <w:rPr>
          <w:rFonts w:ascii="Sylfaen" w:hAnsi="Sylfaen"/>
          <w:lang w:val="ka-GE"/>
        </w:rPr>
        <w:t>კომპანიას</w:t>
      </w:r>
      <w:r w:rsidR="00F937BD">
        <w:rPr>
          <w:rFonts w:ascii="Sylfaen" w:hAnsi="Sylfaen"/>
          <w:lang w:val="ka-GE"/>
        </w:rPr>
        <w:t xml:space="preserve"> ან კომპანიებს</w:t>
      </w:r>
      <w:r w:rsidR="001D6133" w:rsidRPr="00D8365F">
        <w:rPr>
          <w:rFonts w:ascii="Sylfaen" w:hAnsi="Sylfaen"/>
          <w:lang w:val="ka-GE"/>
        </w:rPr>
        <w:t>, ქვემოთ ჩამოთვლილი კრიტერიუმების გათვალისწინებით:</w:t>
      </w:r>
    </w:p>
    <w:p w14:paraId="3EC405FB" w14:textId="77777777" w:rsidR="00595AC1" w:rsidRPr="00D02251" w:rsidRDefault="009D69D8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D02251">
        <w:rPr>
          <w:rFonts w:ascii="Sylfaen" w:hAnsi="Sylfaen" w:cs="Sylfaen"/>
          <w:b/>
          <w:lang w:val="ka-GE"/>
        </w:rPr>
        <w:t>რეგიონების დაფარვა/მომსახურების ხარისხი</w:t>
      </w:r>
    </w:p>
    <w:p w14:paraId="012633CC" w14:textId="77777777" w:rsidR="00D655CF" w:rsidRPr="00D02251" w:rsidRDefault="009D69D8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D02251">
        <w:rPr>
          <w:rFonts w:ascii="Sylfaen" w:hAnsi="Sylfaen" w:cs="Sylfaen"/>
          <w:b/>
          <w:lang w:val="ka-GE"/>
        </w:rPr>
        <w:t>კომპანიის გამოცდილება (მინიმუმ 2 წელი)</w:t>
      </w:r>
    </w:p>
    <w:p w14:paraId="5A595E6F" w14:textId="43D74DB2" w:rsidR="00377050" w:rsidRDefault="00377050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D02251">
        <w:rPr>
          <w:rFonts w:ascii="Sylfaen" w:hAnsi="Sylfaen" w:cs="Sylfaen"/>
          <w:b/>
          <w:lang w:val="ka-GE"/>
        </w:rPr>
        <w:t>სადაზღვევო ლიმიტი/ მზღვეველის წილი</w:t>
      </w:r>
    </w:p>
    <w:p w14:paraId="35CC8067" w14:textId="3BA13C15" w:rsidR="00A1212C" w:rsidRPr="00D02251" w:rsidRDefault="00A1212C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პროვაიდერი კლინიკების და სააფთიაქო ქსელის არჩევანი</w:t>
      </w:r>
    </w:p>
    <w:p w14:paraId="319DC2C5" w14:textId="3CAE9501" w:rsidR="009D69D8" w:rsidRPr="00D02251" w:rsidRDefault="009D69D8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D02251">
        <w:rPr>
          <w:rFonts w:ascii="Sylfaen" w:hAnsi="Sylfaen" w:cs="Sylfaen"/>
          <w:b/>
          <w:lang w:val="ka-GE"/>
        </w:rPr>
        <w:t>გამონაკლისი შემთხვევები</w:t>
      </w:r>
      <w:r w:rsidR="00221268">
        <w:rPr>
          <w:rFonts w:ascii="Sylfaen" w:hAnsi="Sylfaen" w:cs="Sylfaen"/>
          <w:b/>
          <w:lang w:val="ka-GE"/>
        </w:rPr>
        <w:t>, რასაც არ ფარავს დაზღვევა</w:t>
      </w:r>
    </w:p>
    <w:p w14:paraId="0C45D91C" w14:textId="77777777" w:rsidR="009D69D8" w:rsidRPr="00D02251" w:rsidRDefault="009D69D8" w:rsidP="00BE7DEA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D02251">
        <w:rPr>
          <w:rFonts w:ascii="Sylfaen" w:hAnsi="Sylfaen" w:cs="Sylfaen"/>
          <w:b/>
          <w:lang w:val="ka-GE"/>
        </w:rPr>
        <w:t>ფასი</w:t>
      </w:r>
    </w:p>
    <w:p w14:paraId="02F564C0" w14:textId="77777777" w:rsidR="001A6AA5" w:rsidRPr="001A6AA5" w:rsidRDefault="001A6AA5" w:rsidP="001A6AA5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096AE10" w14:textId="06A9D335" w:rsidR="00996E05" w:rsidRPr="0058059F" w:rsidRDefault="00E3011B" w:rsidP="000B7130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10" w:name="_Toc422608348"/>
      <w:bookmarkStart w:id="11" w:name="_Toc12615110"/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მ</w:t>
      </w:r>
      <w:r w:rsidR="00D37A67"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ო</w:t>
      </w:r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მწოდებლის მიერ</w:t>
      </w:r>
      <w:r w:rsidR="00F937BD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 xml:space="preserve"> </w:t>
      </w:r>
      <w:r w:rsidRPr="0058059F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tenders.ge–ზე ასატვირთი დოკუმენტაცია</w:t>
      </w:r>
      <w:bookmarkEnd w:id="10"/>
      <w:bookmarkEnd w:id="11"/>
    </w:p>
    <w:p w14:paraId="197B47FE" w14:textId="77777777" w:rsidR="001A6AA5" w:rsidRPr="00902A9C" w:rsidRDefault="001A6AA5" w:rsidP="001A6AA5">
      <w:pPr>
        <w:jc w:val="both"/>
        <w:rPr>
          <w:rFonts w:ascii="Sylfaen" w:hAnsi="Sylfaen"/>
          <w:lang w:val="ka-GE"/>
        </w:rPr>
      </w:pPr>
      <w:bookmarkStart w:id="12" w:name="OLE_LINK3"/>
      <w:bookmarkStart w:id="13" w:name="OLE_LINK4"/>
      <w:bookmarkStart w:id="14" w:name="_Toc422608349"/>
      <w:r w:rsidRPr="00902A9C">
        <w:rPr>
          <w:rFonts w:ascii="Sylfaen" w:hAnsi="Sylfaen"/>
          <w:lang w:val="ka-GE"/>
        </w:rPr>
        <w:t>მომწოდებელმა სისტემაში უნდა ატვირთოს  შემდეგი დოკუმენტაცია:</w:t>
      </w:r>
    </w:p>
    <w:p w14:paraId="2985AB60" w14:textId="77777777" w:rsidR="001A6AA5" w:rsidRPr="00291527" w:rsidRDefault="001A6AA5" w:rsidP="001A6AA5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ka-GE"/>
        </w:rPr>
      </w:pPr>
      <w:r w:rsidRPr="00975CFD">
        <w:rPr>
          <w:b/>
          <w:sz w:val="22"/>
          <w:szCs w:val="22"/>
          <w:lang w:val="ka-GE"/>
        </w:rPr>
        <w:t>რეკვიზიტები და საკონტაქტო ინფორმაცია</w:t>
      </w:r>
      <w:r w:rsidRPr="00291527">
        <w:rPr>
          <w:sz w:val="22"/>
          <w:szCs w:val="22"/>
          <w:lang w:val="ka-GE"/>
        </w:rPr>
        <w:t xml:space="preserve"> კომპანიის ტიტულიან ფურცელზე,</w:t>
      </w:r>
      <w:r w:rsidRPr="00291527">
        <w:rPr>
          <w:sz w:val="22"/>
          <w:szCs w:val="22"/>
        </w:rPr>
        <w:t xml:space="preserve"> </w:t>
      </w:r>
      <w:r w:rsidRPr="00291527">
        <w:rPr>
          <w:sz w:val="22"/>
          <w:szCs w:val="22"/>
          <w:lang w:val="ka-GE"/>
        </w:rPr>
        <w:t>ასევე:</w:t>
      </w:r>
    </w:p>
    <w:p w14:paraId="080C3C06" w14:textId="26CA5C63" w:rsidR="001A6AA5" w:rsidRPr="00291527" w:rsidRDefault="001A6AA5" w:rsidP="001A6AA5">
      <w:pPr>
        <w:pStyle w:val="Default"/>
        <w:numPr>
          <w:ilvl w:val="1"/>
          <w:numId w:val="34"/>
        </w:numPr>
        <w:jc w:val="both"/>
        <w:rPr>
          <w:sz w:val="22"/>
          <w:szCs w:val="22"/>
          <w:lang w:val="ka-GE"/>
        </w:rPr>
      </w:pPr>
      <w:r w:rsidRPr="00291527">
        <w:rPr>
          <w:sz w:val="22"/>
          <w:szCs w:val="22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</w:t>
      </w:r>
      <w:r w:rsidR="003D433B" w:rsidRPr="00291527">
        <w:rPr>
          <w:sz w:val="22"/>
          <w:szCs w:val="22"/>
          <w:lang w:val="ka-GE"/>
        </w:rPr>
        <w:t>)</w:t>
      </w:r>
    </w:p>
    <w:p w14:paraId="01E3F274" w14:textId="3B385F97" w:rsidR="00F937BD" w:rsidRPr="00F937BD" w:rsidRDefault="00F937BD" w:rsidP="001A6AA5">
      <w:pPr>
        <w:pStyle w:val="ListParagraph"/>
        <w:numPr>
          <w:ilvl w:val="0"/>
          <w:numId w:val="34"/>
        </w:numPr>
        <w:jc w:val="both"/>
        <w:rPr>
          <w:b/>
          <w:lang w:val="ka-GE"/>
        </w:rPr>
      </w:pPr>
      <w:r>
        <w:rPr>
          <w:b/>
          <w:lang w:val="ka-GE"/>
        </w:rPr>
        <w:t xml:space="preserve">შემოთავაზებები კატეგორიების მიხედვით </w:t>
      </w:r>
      <w:r>
        <w:rPr>
          <w:rFonts w:ascii="Sylfaen" w:hAnsi="Sylfaen" w:cs="Sylfaen"/>
          <w:b/>
        </w:rPr>
        <w:t>Excel ფაილით</w:t>
      </w:r>
    </w:p>
    <w:p w14:paraId="026459EC" w14:textId="44761A83" w:rsidR="00662BE4" w:rsidRPr="00975CFD" w:rsidRDefault="00662BE4" w:rsidP="001A6AA5">
      <w:pPr>
        <w:pStyle w:val="ListParagraph"/>
        <w:numPr>
          <w:ilvl w:val="0"/>
          <w:numId w:val="34"/>
        </w:numPr>
        <w:jc w:val="both"/>
        <w:rPr>
          <w:b/>
          <w:lang w:val="ka-GE"/>
        </w:rPr>
      </w:pPr>
      <w:r w:rsidRPr="00975CFD">
        <w:rPr>
          <w:rFonts w:ascii="Sylfaen" w:hAnsi="Sylfaen" w:cs="Sylfaen"/>
          <w:b/>
          <w:lang w:val="ka-GE"/>
        </w:rPr>
        <w:t>პროვაიდერი კლინიკების ჩამონათვალი</w:t>
      </w:r>
      <w:r w:rsidR="00F937BD">
        <w:rPr>
          <w:rFonts w:ascii="Sylfaen" w:hAnsi="Sylfaen" w:cs="Sylfaen"/>
          <w:b/>
          <w:lang w:val="ka-GE"/>
        </w:rPr>
        <w:t xml:space="preserve"> </w:t>
      </w:r>
      <w:r w:rsidR="00F937BD">
        <w:rPr>
          <w:rFonts w:ascii="Sylfaen" w:hAnsi="Sylfaen" w:cs="Sylfaen"/>
          <w:b/>
        </w:rPr>
        <w:t>Excel ფაილით</w:t>
      </w:r>
    </w:p>
    <w:p w14:paraId="5EDA5859" w14:textId="10F94088" w:rsidR="00662BE4" w:rsidRPr="00975CFD" w:rsidRDefault="00662BE4" w:rsidP="001A6AA5">
      <w:pPr>
        <w:pStyle w:val="ListParagraph"/>
        <w:numPr>
          <w:ilvl w:val="0"/>
          <w:numId w:val="34"/>
        </w:numPr>
        <w:jc w:val="both"/>
        <w:rPr>
          <w:b/>
          <w:lang w:val="ka-GE"/>
        </w:rPr>
      </w:pPr>
      <w:r w:rsidRPr="00975CFD">
        <w:rPr>
          <w:rFonts w:ascii="Sylfaen" w:hAnsi="Sylfaen" w:cs="Sylfaen"/>
          <w:b/>
          <w:lang w:val="ka-GE"/>
        </w:rPr>
        <w:t>არაანაზღაურებად შემთხვევათა ჩამონათვალი</w:t>
      </w:r>
      <w:r w:rsidR="00F937BD">
        <w:rPr>
          <w:rFonts w:ascii="Sylfaen" w:hAnsi="Sylfaen" w:cs="Sylfaen"/>
          <w:b/>
          <w:lang w:val="ka-GE"/>
        </w:rPr>
        <w:t xml:space="preserve"> </w:t>
      </w:r>
      <w:r w:rsidR="00F937BD">
        <w:rPr>
          <w:rFonts w:ascii="Sylfaen" w:hAnsi="Sylfaen" w:cs="Sylfaen"/>
          <w:b/>
        </w:rPr>
        <w:t>Excel ფაილით</w:t>
      </w:r>
    </w:p>
    <w:p w14:paraId="31EDF304" w14:textId="77777777" w:rsidR="001A6AA5" w:rsidRPr="00975CFD" w:rsidRDefault="001A6AA5" w:rsidP="001A6AA5">
      <w:pPr>
        <w:pStyle w:val="ListParagraph"/>
        <w:numPr>
          <w:ilvl w:val="0"/>
          <w:numId w:val="34"/>
        </w:numPr>
        <w:jc w:val="both"/>
        <w:rPr>
          <w:rFonts w:ascii="Sylfaen" w:hAnsi="Sylfaen" w:cs="Sylfaen"/>
          <w:b/>
          <w:lang w:val="ka-GE"/>
        </w:rPr>
      </w:pPr>
      <w:r w:rsidRPr="00975CFD">
        <w:rPr>
          <w:rFonts w:ascii="Sylfaen" w:hAnsi="Sylfaen" w:cs="Sylfaen"/>
          <w:b/>
          <w:lang w:val="ka-GE"/>
        </w:rPr>
        <w:t>უფლებამოსილი პირის მიერ ხელმოწერილი დამატებითი დანართები:</w:t>
      </w:r>
    </w:p>
    <w:p w14:paraId="1090B400" w14:textId="0FE99CD2" w:rsidR="001A6AA5" w:rsidRPr="00291527" w:rsidRDefault="001A6AA5" w:rsidP="001A6A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ka-GE"/>
        </w:rPr>
      </w:pPr>
      <w:r w:rsidRPr="00291527">
        <w:rPr>
          <w:rFonts w:ascii="Sylfaen" w:hAnsi="Sylfaen"/>
          <w:lang w:val="ka-GE"/>
        </w:rPr>
        <w:t>დანართი</w:t>
      </w:r>
      <w:r w:rsidR="00F937BD">
        <w:rPr>
          <w:lang w:val="ka-GE"/>
        </w:rPr>
        <w:t xml:space="preserve"> №2</w:t>
      </w:r>
      <w:r w:rsidRPr="00291527">
        <w:rPr>
          <w:lang w:val="ka-GE"/>
        </w:rPr>
        <w:t xml:space="preserve"> - </w:t>
      </w:r>
      <w:r w:rsidRPr="00291527">
        <w:rPr>
          <w:rFonts w:ascii="Sylfaen" w:hAnsi="Sylfaen"/>
          <w:lang w:val="ka-GE"/>
        </w:rPr>
        <w:t>შესაბამისობა</w:t>
      </w:r>
      <w:r w:rsidRPr="00291527">
        <w:rPr>
          <w:lang w:val="ka-GE"/>
        </w:rPr>
        <w:t xml:space="preserve"> </w:t>
      </w:r>
      <w:r w:rsidRPr="00291527">
        <w:rPr>
          <w:rFonts w:ascii="Sylfaen" w:hAnsi="Sylfaen"/>
          <w:lang w:val="ka-GE"/>
        </w:rPr>
        <w:t>გარემოსდააცვით</w:t>
      </w:r>
      <w:r w:rsidRPr="00291527">
        <w:rPr>
          <w:lang w:val="ka-GE"/>
        </w:rPr>
        <w:t xml:space="preserve"> </w:t>
      </w:r>
      <w:r w:rsidRPr="00291527">
        <w:rPr>
          <w:rFonts w:ascii="Sylfaen" w:hAnsi="Sylfaen"/>
          <w:lang w:val="ka-GE"/>
        </w:rPr>
        <w:t>და</w:t>
      </w:r>
      <w:r w:rsidRPr="00291527">
        <w:rPr>
          <w:lang w:val="ka-GE"/>
        </w:rPr>
        <w:t xml:space="preserve"> </w:t>
      </w:r>
      <w:r w:rsidRPr="00291527">
        <w:rPr>
          <w:rFonts w:ascii="Sylfaen" w:hAnsi="Sylfaen"/>
          <w:lang w:val="ka-GE"/>
        </w:rPr>
        <w:t>სოციალურ</w:t>
      </w:r>
      <w:r w:rsidRPr="00291527">
        <w:rPr>
          <w:lang w:val="ka-GE"/>
        </w:rPr>
        <w:t xml:space="preserve"> </w:t>
      </w:r>
      <w:r w:rsidRPr="00291527">
        <w:rPr>
          <w:rFonts w:ascii="Sylfaen" w:hAnsi="Sylfaen"/>
          <w:lang w:val="ka-GE"/>
        </w:rPr>
        <w:t>საკითხებთან</w:t>
      </w:r>
    </w:p>
    <w:p w14:paraId="1A562BC9" w14:textId="51B31B5E" w:rsidR="001A6AA5" w:rsidRDefault="001A6AA5" w:rsidP="001A6A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ka-GE"/>
        </w:rPr>
      </w:pPr>
      <w:r w:rsidRPr="00291527">
        <w:rPr>
          <w:rFonts w:ascii="Sylfaen" w:hAnsi="Sylfaen"/>
          <w:lang w:val="ka-GE"/>
        </w:rPr>
        <w:t>დანართი</w:t>
      </w:r>
      <w:r w:rsidR="00F937BD">
        <w:rPr>
          <w:lang w:val="ka-GE"/>
        </w:rPr>
        <w:t xml:space="preserve"> №3</w:t>
      </w:r>
      <w:r w:rsidRPr="00291527">
        <w:rPr>
          <w:lang w:val="ka-GE"/>
        </w:rPr>
        <w:t xml:space="preserve"> - </w:t>
      </w:r>
      <w:r w:rsidRPr="00291527">
        <w:rPr>
          <w:rFonts w:ascii="Sylfaen" w:hAnsi="Sylfaen"/>
          <w:lang w:val="ka-GE"/>
        </w:rPr>
        <w:t>აფიდავიტი</w:t>
      </w:r>
      <w:r w:rsidRPr="00291527">
        <w:rPr>
          <w:lang w:val="ka-GE"/>
        </w:rPr>
        <w:t xml:space="preserve"> </w:t>
      </w:r>
    </w:p>
    <w:p w14:paraId="3B2425F0" w14:textId="5531D9F7" w:rsidR="000D22C3" w:rsidRPr="00F339E6" w:rsidRDefault="000D22C3" w:rsidP="001A6A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339E6">
        <w:rPr>
          <w:rFonts w:ascii="Sylfaen" w:hAnsi="Sylfaen"/>
          <w:lang w:val="ka-GE"/>
        </w:rPr>
        <w:t>დანართი</w:t>
      </w:r>
      <w:r w:rsidR="00F937BD">
        <w:rPr>
          <w:rFonts w:ascii="Sylfaen" w:hAnsi="Sylfaen"/>
          <w:lang w:val="ka-GE"/>
        </w:rPr>
        <w:t xml:space="preserve"> №4</w:t>
      </w:r>
      <w:r w:rsidRPr="00F339E6">
        <w:rPr>
          <w:rFonts w:ascii="Sylfaen" w:hAnsi="Sylfaen"/>
          <w:lang w:val="ka-GE"/>
        </w:rPr>
        <w:t xml:space="preserve"> - ანგარიშის გახსნის თაობაზე</w:t>
      </w:r>
    </w:p>
    <w:bookmarkEnd w:id="12"/>
    <w:bookmarkEnd w:id="13"/>
    <w:bookmarkEnd w:id="14"/>
    <w:p w14:paraId="08709D6F" w14:textId="77777777" w:rsidR="00E62192" w:rsidRDefault="00E62192" w:rsidP="00F93F5E">
      <w:pPr>
        <w:spacing w:after="0"/>
        <w:jc w:val="right"/>
        <w:rPr>
          <w:rStyle w:val="Hyperlink"/>
          <w:rFonts w:ascii="Sylfaen" w:hAnsi="Sylfaen"/>
          <w:b/>
          <w:lang w:val="ka-GE"/>
        </w:rPr>
      </w:pPr>
    </w:p>
    <w:p w14:paraId="4E72683A" w14:textId="77777777" w:rsidR="001A6AA5" w:rsidRPr="001A6AA5" w:rsidRDefault="001A6AA5" w:rsidP="001A6AA5">
      <w:pPr>
        <w:pStyle w:val="Heading2"/>
        <w:numPr>
          <w:ilvl w:val="0"/>
          <w:numId w:val="29"/>
        </w:numPr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</w:pPr>
      <w:bookmarkStart w:id="15" w:name="_Toc284313"/>
      <w:bookmarkStart w:id="16" w:name="_Toc447355"/>
      <w:bookmarkStart w:id="17" w:name="_Toc9515937"/>
      <w:bookmarkStart w:id="18" w:name="_Toc12615111"/>
      <w:r w:rsidRPr="001A6AA5">
        <w:rPr>
          <w:rFonts w:ascii="Sylfaen" w:hAnsi="Sylfaen" w:cs="Sylfaen"/>
          <w:color w:val="1F4E79" w:themeColor="accent1" w:themeShade="80"/>
          <w:sz w:val="28"/>
          <w:szCs w:val="22"/>
          <w:lang w:val="ka-GE"/>
        </w:rPr>
        <w:t>დამატებითი ინფორმაცია</w:t>
      </w:r>
      <w:bookmarkEnd w:id="15"/>
      <w:bookmarkEnd w:id="16"/>
      <w:bookmarkEnd w:id="17"/>
      <w:bookmarkEnd w:id="18"/>
    </w:p>
    <w:p w14:paraId="4E987E18" w14:textId="77777777" w:rsidR="001A6AA5" w:rsidRPr="00902A9C" w:rsidRDefault="001A6AA5" w:rsidP="001A6AA5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4B2A4ED0" w14:textId="77777777" w:rsidR="001A6AA5" w:rsidRPr="00902A9C" w:rsidRDefault="001A6AA5" w:rsidP="001A6AA5">
      <w:pPr>
        <w:pStyle w:val="ListParagraph"/>
        <w:numPr>
          <w:ilvl w:val="0"/>
          <w:numId w:val="31"/>
        </w:numPr>
        <w:spacing w:after="0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311E5136" w14:textId="77777777" w:rsidR="001A6AA5" w:rsidRDefault="001A6AA5" w:rsidP="001A6AA5">
      <w:pPr>
        <w:pStyle w:val="ListParagraph"/>
        <w:numPr>
          <w:ilvl w:val="0"/>
          <w:numId w:val="31"/>
        </w:numPr>
        <w:ind w:left="720"/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0647C27F" w14:textId="77777777" w:rsidR="00810C50" w:rsidRDefault="00810C50" w:rsidP="00810C50">
      <w:pPr>
        <w:pStyle w:val="ListParagraph"/>
        <w:jc w:val="both"/>
        <w:rPr>
          <w:rFonts w:ascii="Sylfaen" w:hAnsi="Sylfaen"/>
          <w:lang w:val="ka-GE"/>
        </w:rPr>
      </w:pPr>
    </w:p>
    <w:p w14:paraId="731E61AD" w14:textId="36A60540" w:rsidR="001A6AA5" w:rsidRDefault="001A6AA5" w:rsidP="001A6AA5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Sylfaen" w:hAnsi="Sylfaen"/>
          <w:b/>
          <w:lang w:val="ka-GE"/>
        </w:rPr>
      </w:pPr>
      <w:r w:rsidRPr="00834ACB">
        <w:rPr>
          <w:rFonts w:ascii="Sylfaen" w:hAnsi="Sylfaen" w:cs="Sylfaen"/>
          <w:b/>
          <w:lang w:val="ka-GE"/>
        </w:rPr>
        <w:t>სატენდერო</w:t>
      </w:r>
      <w:r w:rsidRPr="00834ACB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0D22C3">
        <w:rPr>
          <w:rFonts w:ascii="Sylfaen" w:hAnsi="Sylfaen"/>
          <w:b/>
          <w:lang w:val="ka-GE"/>
        </w:rPr>
        <w:t>:  </w:t>
      </w:r>
      <w:r w:rsidR="00F937BD">
        <w:rPr>
          <w:rFonts w:ascii="Sylfaen" w:hAnsi="Sylfaen"/>
          <w:b/>
          <w:color w:val="FF0000"/>
          <w:lang w:val="ka-GE"/>
        </w:rPr>
        <w:t>2023</w:t>
      </w:r>
      <w:r w:rsidRPr="00E922CD">
        <w:rPr>
          <w:rFonts w:ascii="Sylfaen" w:hAnsi="Sylfaen"/>
          <w:b/>
          <w:color w:val="FF0000"/>
          <w:lang w:val="ka-GE"/>
        </w:rPr>
        <w:t xml:space="preserve"> წლის </w:t>
      </w:r>
      <w:r w:rsidR="00F937BD">
        <w:rPr>
          <w:rFonts w:ascii="Sylfaen" w:hAnsi="Sylfaen"/>
          <w:b/>
          <w:color w:val="FF0000"/>
          <w:lang w:val="ka-GE"/>
        </w:rPr>
        <w:t>17</w:t>
      </w:r>
      <w:r w:rsidR="00D8365F" w:rsidRPr="00E922CD">
        <w:rPr>
          <w:rFonts w:ascii="Sylfaen" w:hAnsi="Sylfaen"/>
          <w:b/>
          <w:color w:val="FF0000"/>
          <w:lang w:val="ka-GE"/>
        </w:rPr>
        <w:t xml:space="preserve"> </w:t>
      </w:r>
      <w:r w:rsidR="00F937BD">
        <w:rPr>
          <w:rFonts w:ascii="Sylfaen" w:hAnsi="Sylfaen"/>
          <w:b/>
          <w:color w:val="FF0000"/>
          <w:lang w:val="ka-GE"/>
        </w:rPr>
        <w:t>თებერვალი</w:t>
      </w:r>
      <w:r w:rsidR="0061718C">
        <w:rPr>
          <w:rFonts w:ascii="Sylfaen" w:hAnsi="Sylfaen"/>
          <w:b/>
          <w:color w:val="FF0000"/>
          <w:lang w:val="ka-GE"/>
        </w:rPr>
        <w:t xml:space="preserve"> - 17</w:t>
      </w:r>
      <w:r w:rsidRPr="00E922CD">
        <w:rPr>
          <w:rFonts w:ascii="Sylfaen" w:hAnsi="Sylfaen"/>
          <w:b/>
          <w:color w:val="FF0000"/>
          <w:lang w:val="ka-GE"/>
        </w:rPr>
        <w:t>:00 საათი.</w:t>
      </w:r>
    </w:p>
    <w:p w14:paraId="31C5A495" w14:textId="77777777" w:rsidR="00810C50" w:rsidRPr="00834ACB" w:rsidRDefault="00810C50" w:rsidP="00810C50">
      <w:pPr>
        <w:pStyle w:val="ListParagraph"/>
        <w:spacing w:after="0" w:line="240" w:lineRule="auto"/>
        <w:ind w:left="1080"/>
        <w:jc w:val="both"/>
        <w:rPr>
          <w:rFonts w:ascii="Sylfaen" w:hAnsi="Sylfaen"/>
          <w:b/>
          <w:lang w:val="ka-GE"/>
        </w:rPr>
      </w:pPr>
    </w:p>
    <w:p w14:paraId="6C87E11C" w14:textId="3E511969" w:rsidR="001A6AA5" w:rsidRDefault="001A6AA5" w:rsidP="001A6AA5">
      <w:pPr>
        <w:jc w:val="both"/>
        <w:rPr>
          <w:rFonts w:ascii="Sylfaen" w:hAnsi="Sylfaen"/>
        </w:rPr>
      </w:pPr>
      <w:r w:rsidRPr="00A36062">
        <w:rPr>
          <w:rFonts w:ascii="Sylfaen" w:hAnsi="Sylfaen"/>
          <w:lang w:val="ka-GE"/>
        </w:rPr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გამოიყენოთ </w:t>
      </w:r>
      <w:hyperlink r:id="rId10" w:history="1">
        <w:r w:rsidR="0061718C" w:rsidRPr="00750A15">
          <w:rPr>
            <w:rStyle w:val="Hyperlink"/>
            <w:rFonts w:ascii="Sylfaen" w:hAnsi="Sylfaen"/>
            <w:lang w:val="ka-GE"/>
          </w:rPr>
          <w:t>www.tenders.ge</w:t>
        </w:r>
      </w:hyperlink>
      <w:r w:rsidRPr="00902A9C">
        <w:rPr>
          <w:rFonts w:ascii="Sylfaen" w:hAnsi="Sylfaen"/>
          <w:lang w:val="ka-GE"/>
        </w:rPr>
        <w:t xml:space="preserve"> -ზე განთავსებული </w:t>
      </w:r>
      <w:r w:rsidRPr="00A36062">
        <w:rPr>
          <w:rFonts w:ascii="Sylfaen" w:hAnsi="Sylfaen"/>
          <w:u w:val="single"/>
          <w:lang w:val="ka-GE"/>
        </w:rPr>
        <w:t>კითხვა/პასუხის მოდული</w:t>
      </w:r>
      <w:r w:rsidRPr="00902A9C">
        <w:rPr>
          <w:rFonts w:ascii="Sylfaen" w:hAnsi="Sylfaen"/>
        </w:rPr>
        <w:t xml:space="preserve"> </w:t>
      </w:r>
      <w:r w:rsidRPr="00902A9C">
        <w:rPr>
          <w:rFonts w:ascii="Sylfaen" w:hAnsi="Sylfaen"/>
          <w:lang w:val="ka-GE"/>
        </w:rPr>
        <w:t>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</w:t>
      </w:r>
      <w:r w:rsidRPr="00902A9C">
        <w:rPr>
          <w:rFonts w:ascii="Sylfaen" w:hAnsi="Sylfaen"/>
        </w:rPr>
        <w:t>/საჯარო ინფორმაციას.</w:t>
      </w:r>
    </w:p>
    <w:p w14:paraId="29987BF2" w14:textId="77777777" w:rsidR="009B4959" w:rsidRDefault="009B4959" w:rsidP="001A6AA5">
      <w:pPr>
        <w:tabs>
          <w:tab w:val="left" w:pos="0"/>
        </w:tabs>
        <w:spacing w:after="0"/>
        <w:jc w:val="right"/>
        <w:rPr>
          <w:rFonts w:ascii="Sylfaen" w:hAnsi="Sylfaen"/>
          <w:b/>
          <w:lang w:val="ka-GE"/>
        </w:rPr>
      </w:pPr>
    </w:p>
    <w:p w14:paraId="608DF5EB" w14:textId="77777777" w:rsidR="001A6AA5" w:rsidRPr="007D17B6" w:rsidRDefault="001A6AA5" w:rsidP="001A6AA5">
      <w:pPr>
        <w:tabs>
          <w:tab w:val="left" w:pos="0"/>
        </w:tabs>
        <w:spacing w:after="0"/>
        <w:jc w:val="right"/>
        <w:rPr>
          <w:rFonts w:ascii="Sylfaen" w:hAnsi="Sylfaen"/>
          <w:b/>
          <w:lang w:val="ka-GE"/>
        </w:rPr>
      </w:pPr>
      <w:r w:rsidRPr="007D17B6">
        <w:rPr>
          <w:rFonts w:ascii="Sylfaen" w:hAnsi="Sylfaen"/>
          <w:b/>
          <w:lang w:val="ka-GE"/>
        </w:rPr>
        <w:t>საკონტაქტო პირი:</w:t>
      </w:r>
    </w:p>
    <w:p w14:paraId="41202A43" w14:textId="41BE24CE" w:rsidR="001A6AA5" w:rsidRDefault="0061718C" w:rsidP="001A6AA5">
      <w:pPr>
        <w:tabs>
          <w:tab w:val="left" w:pos="0"/>
        </w:tabs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შესყიდვების ჯგუფის უფროსი</w:t>
      </w:r>
    </w:p>
    <w:p w14:paraId="3696BD2A" w14:textId="598E7569" w:rsidR="0061718C" w:rsidRPr="0061718C" w:rsidRDefault="0061718C" w:rsidP="001A6AA5">
      <w:pPr>
        <w:tabs>
          <w:tab w:val="left" w:pos="0"/>
        </w:tabs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ეკა აფხაზავა</w:t>
      </w:r>
    </w:p>
    <w:p w14:paraId="0A0229C7" w14:textId="02E7AF42" w:rsidR="001A6AA5" w:rsidRDefault="001A6AA5" w:rsidP="001A6AA5">
      <w:pPr>
        <w:tabs>
          <w:tab w:val="left" w:pos="0"/>
        </w:tabs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 xml:space="preserve">Email: </w:t>
      </w:r>
      <w:r w:rsidR="0061718C">
        <w:t>eapkhazava</w:t>
      </w:r>
      <w:r w:rsidR="000D22C3">
        <w:t>@credo.ge</w:t>
      </w:r>
      <w:hyperlink r:id="rId11" w:history="1"/>
    </w:p>
    <w:p w14:paraId="534EA8A3" w14:textId="125E2FB1" w:rsidR="00E62192" w:rsidRPr="00B15F30" w:rsidRDefault="001A6AA5" w:rsidP="003D433B">
      <w:pPr>
        <w:tabs>
          <w:tab w:val="left" w:pos="0"/>
        </w:tabs>
        <w:spacing w:after="0"/>
        <w:jc w:val="right"/>
        <w:rPr>
          <w:rStyle w:val="Hyperlink"/>
          <w:rFonts w:ascii="Sylfaen" w:hAnsi="Sylfaen"/>
          <w:b/>
          <w:lang w:val="ka-GE"/>
        </w:rPr>
      </w:pPr>
      <w:r>
        <w:rPr>
          <w:rFonts w:ascii="Sylfaen" w:hAnsi="Sylfaen"/>
        </w:rPr>
        <w:t xml:space="preserve">T: </w:t>
      </w:r>
      <w:r w:rsidR="0061718C">
        <w:rPr>
          <w:rFonts w:ascii="Sylfaen" w:hAnsi="Sylfaen"/>
        </w:rPr>
        <w:t>595-95-37-60</w:t>
      </w:r>
    </w:p>
    <w:sectPr w:rsidR="00E62192" w:rsidRPr="00B15F30" w:rsidSect="001A6A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37" w:right="720" w:bottom="720" w:left="720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6061" w14:textId="77777777" w:rsidR="00C34E15" w:rsidRDefault="00C34E15" w:rsidP="006E4832">
      <w:pPr>
        <w:spacing w:after="0" w:line="240" w:lineRule="auto"/>
      </w:pPr>
      <w:r>
        <w:separator/>
      </w:r>
    </w:p>
  </w:endnote>
  <w:endnote w:type="continuationSeparator" w:id="0">
    <w:p w14:paraId="3FB59CF6" w14:textId="77777777" w:rsidR="00C34E15" w:rsidRDefault="00C34E15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C51D" w14:textId="77777777" w:rsidR="007A061C" w:rsidRDefault="007A0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1"/>
      <w:gridCol w:w="1105"/>
    </w:tblGrid>
    <w:tr w:rsidR="00F33EEE" w:rsidRPr="008511DC" w14:paraId="50724CFA" w14:textId="77777777" w:rsidTr="00F33EEE">
      <w:tc>
        <w:tcPr>
          <w:tcW w:w="4500" w:type="pct"/>
          <w:tcBorders>
            <w:top w:val="single" w:sz="4" w:space="0" w:color="000000" w:themeColor="text1"/>
          </w:tcBorders>
        </w:tcPr>
        <w:p w14:paraId="3FBF923B" w14:textId="782D7085" w:rsidR="00F33EEE" w:rsidRDefault="00F33EEE" w:rsidP="001A6AA5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D10B4A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721A1D">
            <w:rPr>
              <w:rFonts w:ascii="Sylfaen" w:hAnsi="Sylfaen"/>
              <w:sz w:val="16"/>
              <w:szCs w:val="16"/>
              <w:lang w:val="ka-GE"/>
            </w:rPr>
            <w:t xml:space="preserve"> №352</w:t>
          </w:r>
          <w:bookmarkStart w:id="19" w:name="_GoBack"/>
          <w:bookmarkEnd w:id="19"/>
          <w:r>
            <w:rPr>
              <w:rFonts w:ascii="Sylfaen" w:hAnsi="Sylfaen"/>
              <w:sz w:val="16"/>
              <w:szCs w:val="16"/>
              <w:lang w:val="ka-GE"/>
            </w:rPr>
            <w:t xml:space="preserve"> - ჯანმრთელობის </w:t>
          </w:r>
          <w:r w:rsidR="007A061C">
            <w:rPr>
              <w:rFonts w:ascii="Sylfaen" w:hAnsi="Sylfaen"/>
              <w:sz w:val="16"/>
              <w:szCs w:val="16"/>
              <w:lang w:val="ka-GE"/>
            </w:rPr>
            <w:t>დაზღვევა</w:t>
          </w:r>
        </w:p>
        <w:p w14:paraId="3359BC8C" w14:textId="73EF38A6" w:rsidR="00F33EEE" w:rsidRPr="008511DC" w:rsidRDefault="00721A1D" w:rsidP="001A6AA5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208132275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A061C">
                <w:rPr>
                  <w:rFonts w:ascii="Sylfaen" w:hAnsi="Sylfaen"/>
                  <w:sz w:val="16"/>
                  <w:szCs w:val="16"/>
                  <w:lang w:val="ka-GE"/>
                </w:rPr>
                <w:t>თებერვალი</w:t>
              </w:r>
              <w:r w:rsidR="00F33EEE">
                <w:rPr>
                  <w:rFonts w:ascii="Sylfaen" w:hAnsi="Sylfaen"/>
                  <w:sz w:val="16"/>
                  <w:szCs w:val="16"/>
                  <w:lang w:val="ka-GE"/>
                </w:rPr>
                <w:t xml:space="preserve">, </w:t>
              </w:r>
              <w:r w:rsidR="007A061C">
                <w:rPr>
                  <w:rFonts w:ascii="Sylfaen" w:hAnsi="Sylfaen"/>
                  <w:sz w:val="16"/>
                  <w:szCs w:val="16"/>
                  <w:lang w:val="ka-GE"/>
                </w:rPr>
                <w:t>2023</w:t>
              </w:r>
            </w:sdtContent>
          </w:sdt>
          <w:r w:rsidR="00F33EEE"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="00F33EEE"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14A31BE8" w14:textId="0B9D207B" w:rsidR="00F33EEE" w:rsidRPr="008511DC" w:rsidRDefault="00F33EEE" w:rsidP="001A6AA5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Pr="008511DC">
            <w:fldChar w:fldCharType="begin"/>
          </w:r>
          <w:r w:rsidRPr="008511DC">
            <w:instrText xml:space="preserve"> PAGE   \* MERGEFORMAT </w:instrText>
          </w:r>
          <w:r w:rsidRPr="008511DC">
            <w:fldChar w:fldCharType="separate"/>
          </w:r>
          <w:r w:rsidR="00721A1D" w:rsidRPr="00721A1D">
            <w:rPr>
              <w:noProof/>
              <w:color w:val="FFFFFF" w:themeColor="background1"/>
            </w:rPr>
            <w:t>1</w:t>
          </w:r>
          <w:r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2520ADCC" w14:textId="132EA3A6" w:rsidR="00F33EEE" w:rsidRPr="007A061C" w:rsidRDefault="00F33EEE">
    <w:pPr>
      <w:pStyle w:val="Footer"/>
      <w:rPr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FC2E" w14:textId="77777777" w:rsidR="007A061C" w:rsidRDefault="007A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F977" w14:textId="77777777" w:rsidR="00C34E15" w:rsidRDefault="00C34E15" w:rsidP="006E4832">
      <w:pPr>
        <w:spacing w:after="0" w:line="240" w:lineRule="auto"/>
      </w:pPr>
      <w:r>
        <w:separator/>
      </w:r>
    </w:p>
  </w:footnote>
  <w:footnote w:type="continuationSeparator" w:id="0">
    <w:p w14:paraId="11AE6DBD" w14:textId="77777777" w:rsidR="00C34E15" w:rsidRDefault="00C34E15" w:rsidP="006E4832">
      <w:pPr>
        <w:spacing w:after="0" w:line="240" w:lineRule="auto"/>
      </w:pPr>
      <w:r>
        <w:continuationSeparator/>
      </w:r>
    </w:p>
  </w:footnote>
  <w:footnote w:id="1">
    <w:p w14:paraId="0C534967" w14:textId="63AAEF3A" w:rsidR="00F33EEE" w:rsidRPr="006E4832" w:rsidRDefault="00F33EEE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A486" w14:textId="77777777" w:rsidR="007A061C" w:rsidRDefault="007A0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1742" w14:textId="7985786E" w:rsidR="00F33EEE" w:rsidRDefault="00F33EEE" w:rsidP="001A6AA5">
    <w:pPr>
      <w:pStyle w:val="Header"/>
      <w:jc w:val="right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06A021C" wp14:editId="6B1AEF44">
          <wp:extent cx="1351495" cy="314325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912" cy="31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BEC2" w14:textId="77777777" w:rsidR="007A061C" w:rsidRDefault="007A0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3BE"/>
    <w:multiLevelType w:val="hybridMultilevel"/>
    <w:tmpl w:val="6BB44960"/>
    <w:lvl w:ilvl="0" w:tplc="52C832DC">
      <w:numFmt w:val="bullet"/>
      <w:lvlText w:val="·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067AB"/>
    <w:multiLevelType w:val="hybridMultilevel"/>
    <w:tmpl w:val="C9F43532"/>
    <w:lvl w:ilvl="0" w:tplc="230E3410">
      <w:start w:val="1"/>
      <w:numFmt w:val="bullet"/>
      <w:lvlText w:val=""/>
      <w:lvlJc w:val="left"/>
      <w:pPr>
        <w:ind w:left="7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280898"/>
    <w:multiLevelType w:val="hybridMultilevel"/>
    <w:tmpl w:val="E3164A5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A2C636A"/>
    <w:multiLevelType w:val="hybridMultilevel"/>
    <w:tmpl w:val="3DD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949"/>
    <w:multiLevelType w:val="hybridMultilevel"/>
    <w:tmpl w:val="73AAC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7779E"/>
    <w:multiLevelType w:val="hybridMultilevel"/>
    <w:tmpl w:val="6998778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35A"/>
    <w:multiLevelType w:val="hybridMultilevel"/>
    <w:tmpl w:val="80C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7845"/>
    <w:multiLevelType w:val="hybridMultilevel"/>
    <w:tmpl w:val="88966BA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06CB"/>
    <w:multiLevelType w:val="hybridMultilevel"/>
    <w:tmpl w:val="95A8F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77F5D"/>
    <w:multiLevelType w:val="hybridMultilevel"/>
    <w:tmpl w:val="EA0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D5166"/>
    <w:multiLevelType w:val="hybridMultilevel"/>
    <w:tmpl w:val="87FEBB82"/>
    <w:lvl w:ilvl="0" w:tplc="834A327E">
      <w:numFmt w:val="bullet"/>
      <w:lvlText w:val="·"/>
      <w:lvlJc w:val="left"/>
      <w:pPr>
        <w:ind w:left="1365" w:hanging="64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10D27"/>
    <w:multiLevelType w:val="hybridMultilevel"/>
    <w:tmpl w:val="889C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E6EE7"/>
    <w:multiLevelType w:val="hybridMultilevel"/>
    <w:tmpl w:val="B36CB868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1106E0"/>
    <w:multiLevelType w:val="hybridMultilevel"/>
    <w:tmpl w:val="D03C1ECA"/>
    <w:lvl w:ilvl="0" w:tplc="7FD81DAA">
      <w:start w:val="1"/>
      <w:numFmt w:val="bullet"/>
      <w:lvlText w:val=""/>
      <w:lvlJc w:val="left"/>
      <w:pPr>
        <w:ind w:left="78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876EAA"/>
    <w:multiLevelType w:val="hybridMultilevel"/>
    <w:tmpl w:val="1DD0FE12"/>
    <w:lvl w:ilvl="0" w:tplc="8780E2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50629"/>
    <w:multiLevelType w:val="hybridMultilevel"/>
    <w:tmpl w:val="1028422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5095"/>
    <w:multiLevelType w:val="hybridMultilevel"/>
    <w:tmpl w:val="774C12A2"/>
    <w:lvl w:ilvl="0" w:tplc="52C832DC">
      <w:numFmt w:val="bullet"/>
      <w:lvlText w:val="·"/>
      <w:lvlJc w:val="left"/>
      <w:pPr>
        <w:ind w:left="1365" w:hanging="64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32B60"/>
    <w:multiLevelType w:val="hybridMultilevel"/>
    <w:tmpl w:val="5C1C2308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7648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32295"/>
    <w:multiLevelType w:val="hybridMultilevel"/>
    <w:tmpl w:val="C64A77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42C1E"/>
    <w:multiLevelType w:val="hybridMultilevel"/>
    <w:tmpl w:val="67D2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434C35"/>
    <w:multiLevelType w:val="hybridMultilevel"/>
    <w:tmpl w:val="849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2F80411"/>
    <w:multiLevelType w:val="hybridMultilevel"/>
    <w:tmpl w:val="6A5E3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455E"/>
    <w:multiLevelType w:val="hybridMultilevel"/>
    <w:tmpl w:val="F98AD05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4B39"/>
    <w:multiLevelType w:val="hybridMultilevel"/>
    <w:tmpl w:val="2F426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4B0D8F"/>
    <w:multiLevelType w:val="hybridMultilevel"/>
    <w:tmpl w:val="592C56F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AB1112"/>
    <w:multiLevelType w:val="hybridMultilevel"/>
    <w:tmpl w:val="39C0C8B4"/>
    <w:lvl w:ilvl="0" w:tplc="4D64562C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266257"/>
    <w:multiLevelType w:val="hybridMultilevel"/>
    <w:tmpl w:val="5E2C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648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F0DDA"/>
    <w:multiLevelType w:val="hybridMultilevel"/>
    <w:tmpl w:val="48B2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02B11"/>
    <w:multiLevelType w:val="hybridMultilevel"/>
    <w:tmpl w:val="E872E51A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81E34"/>
    <w:multiLevelType w:val="hybridMultilevel"/>
    <w:tmpl w:val="39C2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1413E"/>
    <w:multiLevelType w:val="hybridMultilevel"/>
    <w:tmpl w:val="447463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165FF2"/>
    <w:multiLevelType w:val="hybridMultilevel"/>
    <w:tmpl w:val="EBE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D0102"/>
    <w:multiLevelType w:val="hybridMultilevel"/>
    <w:tmpl w:val="ACD4E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EF3BCE"/>
    <w:multiLevelType w:val="hybridMultilevel"/>
    <w:tmpl w:val="2C70524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E2532B0"/>
    <w:multiLevelType w:val="hybridMultilevel"/>
    <w:tmpl w:val="A32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0"/>
  </w:num>
  <w:num w:numId="4">
    <w:abstractNumId w:val="29"/>
  </w:num>
  <w:num w:numId="5">
    <w:abstractNumId w:val="5"/>
  </w:num>
  <w:num w:numId="6">
    <w:abstractNumId w:val="2"/>
  </w:num>
  <w:num w:numId="7">
    <w:abstractNumId w:val="22"/>
  </w:num>
  <w:num w:numId="8">
    <w:abstractNumId w:val="24"/>
  </w:num>
  <w:num w:numId="9">
    <w:abstractNumId w:val="18"/>
  </w:num>
  <w:num w:numId="10">
    <w:abstractNumId w:val="23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28"/>
  </w:num>
  <w:num w:numId="16">
    <w:abstractNumId w:val="21"/>
  </w:num>
  <w:num w:numId="17">
    <w:abstractNumId w:val="41"/>
  </w:num>
  <w:num w:numId="18">
    <w:abstractNumId w:val="42"/>
  </w:num>
  <w:num w:numId="19">
    <w:abstractNumId w:val="9"/>
  </w:num>
  <w:num w:numId="20">
    <w:abstractNumId w:val="7"/>
  </w:num>
  <w:num w:numId="21">
    <w:abstractNumId w:val="37"/>
  </w:num>
  <w:num w:numId="22">
    <w:abstractNumId w:val="16"/>
  </w:num>
  <w:num w:numId="23">
    <w:abstractNumId w:val="34"/>
  </w:num>
  <w:num w:numId="24">
    <w:abstractNumId w:val="32"/>
  </w:num>
  <w:num w:numId="25">
    <w:abstractNumId w:val="33"/>
  </w:num>
  <w:num w:numId="26">
    <w:abstractNumId w:val="39"/>
  </w:num>
  <w:num w:numId="27">
    <w:abstractNumId w:val="31"/>
  </w:num>
  <w:num w:numId="28">
    <w:abstractNumId w:val="13"/>
  </w:num>
  <w:num w:numId="29">
    <w:abstractNumId w:val="38"/>
  </w:num>
  <w:num w:numId="30">
    <w:abstractNumId w:val="6"/>
  </w:num>
  <w:num w:numId="31">
    <w:abstractNumId w:val="40"/>
  </w:num>
  <w:num w:numId="32">
    <w:abstractNumId w:val="25"/>
  </w:num>
  <w:num w:numId="33">
    <w:abstractNumId w:val="11"/>
  </w:num>
  <w:num w:numId="34">
    <w:abstractNumId w:val="27"/>
  </w:num>
  <w:num w:numId="35">
    <w:abstractNumId w:val="8"/>
  </w:num>
  <w:num w:numId="36">
    <w:abstractNumId w:val="35"/>
  </w:num>
  <w:num w:numId="37">
    <w:abstractNumId w:val="19"/>
  </w:num>
  <w:num w:numId="38">
    <w:abstractNumId w:val="26"/>
  </w:num>
  <w:num w:numId="39">
    <w:abstractNumId w:val="15"/>
  </w:num>
  <w:num w:numId="40">
    <w:abstractNumId w:val="14"/>
  </w:num>
  <w:num w:numId="41">
    <w:abstractNumId w:val="17"/>
  </w:num>
  <w:num w:numId="42">
    <w:abstractNumId w:val="3"/>
  </w:num>
  <w:num w:numId="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14BF"/>
    <w:rsid w:val="00012219"/>
    <w:rsid w:val="000127A3"/>
    <w:rsid w:val="000173FF"/>
    <w:rsid w:val="00024BDE"/>
    <w:rsid w:val="000259E5"/>
    <w:rsid w:val="0003049D"/>
    <w:rsid w:val="000344D8"/>
    <w:rsid w:val="0003551C"/>
    <w:rsid w:val="000370D6"/>
    <w:rsid w:val="00040C74"/>
    <w:rsid w:val="00041D49"/>
    <w:rsid w:val="000438D3"/>
    <w:rsid w:val="000443E4"/>
    <w:rsid w:val="00044CDF"/>
    <w:rsid w:val="00044D98"/>
    <w:rsid w:val="00045E15"/>
    <w:rsid w:val="000477D3"/>
    <w:rsid w:val="00047DF0"/>
    <w:rsid w:val="000515E2"/>
    <w:rsid w:val="0005162B"/>
    <w:rsid w:val="0005282B"/>
    <w:rsid w:val="0005347B"/>
    <w:rsid w:val="00053D1A"/>
    <w:rsid w:val="00057FD1"/>
    <w:rsid w:val="00061D64"/>
    <w:rsid w:val="00065831"/>
    <w:rsid w:val="0007209E"/>
    <w:rsid w:val="000721CC"/>
    <w:rsid w:val="0007252C"/>
    <w:rsid w:val="00073F8A"/>
    <w:rsid w:val="000755DF"/>
    <w:rsid w:val="00081A0D"/>
    <w:rsid w:val="00083EB4"/>
    <w:rsid w:val="00086774"/>
    <w:rsid w:val="00091594"/>
    <w:rsid w:val="000A104A"/>
    <w:rsid w:val="000A2FBD"/>
    <w:rsid w:val="000B1BD2"/>
    <w:rsid w:val="000B1BFF"/>
    <w:rsid w:val="000B6B22"/>
    <w:rsid w:val="000B7130"/>
    <w:rsid w:val="000C4895"/>
    <w:rsid w:val="000C6188"/>
    <w:rsid w:val="000D030E"/>
    <w:rsid w:val="000D22C3"/>
    <w:rsid w:val="000D2FB3"/>
    <w:rsid w:val="000D383B"/>
    <w:rsid w:val="000D38B2"/>
    <w:rsid w:val="000E179D"/>
    <w:rsid w:val="000E75C0"/>
    <w:rsid w:val="000F30A8"/>
    <w:rsid w:val="000F45DB"/>
    <w:rsid w:val="001003FE"/>
    <w:rsid w:val="00107CB1"/>
    <w:rsid w:val="0011284A"/>
    <w:rsid w:val="0011406D"/>
    <w:rsid w:val="00123EE7"/>
    <w:rsid w:val="001241D5"/>
    <w:rsid w:val="001265EE"/>
    <w:rsid w:val="00130B57"/>
    <w:rsid w:val="00134527"/>
    <w:rsid w:val="001375D8"/>
    <w:rsid w:val="001414CF"/>
    <w:rsid w:val="0014203E"/>
    <w:rsid w:val="001461DA"/>
    <w:rsid w:val="00170582"/>
    <w:rsid w:val="00171D41"/>
    <w:rsid w:val="0017214C"/>
    <w:rsid w:val="00172B64"/>
    <w:rsid w:val="001762C1"/>
    <w:rsid w:val="001772A0"/>
    <w:rsid w:val="00185A95"/>
    <w:rsid w:val="00191510"/>
    <w:rsid w:val="0019342D"/>
    <w:rsid w:val="00193BD8"/>
    <w:rsid w:val="00194D47"/>
    <w:rsid w:val="00194EE0"/>
    <w:rsid w:val="001A6AA5"/>
    <w:rsid w:val="001B1043"/>
    <w:rsid w:val="001B1573"/>
    <w:rsid w:val="001C114F"/>
    <w:rsid w:val="001C6C59"/>
    <w:rsid w:val="001D3EBF"/>
    <w:rsid w:val="001D473A"/>
    <w:rsid w:val="001D6133"/>
    <w:rsid w:val="001E2525"/>
    <w:rsid w:val="001E4E4E"/>
    <w:rsid w:val="001E58A5"/>
    <w:rsid w:val="001E7F8B"/>
    <w:rsid w:val="001F16CE"/>
    <w:rsid w:val="001F228F"/>
    <w:rsid w:val="001F37C5"/>
    <w:rsid w:val="001F4E49"/>
    <w:rsid w:val="00203BA9"/>
    <w:rsid w:val="00203EAA"/>
    <w:rsid w:val="00204BD1"/>
    <w:rsid w:val="00204CCE"/>
    <w:rsid w:val="002060CB"/>
    <w:rsid w:val="00210472"/>
    <w:rsid w:val="00210475"/>
    <w:rsid w:val="0021172F"/>
    <w:rsid w:val="00220435"/>
    <w:rsid w:val="00221268"/>
    <w:rsid w:val="00226B6F"/>
    <w:rsid w:val="00235CEA"/>
    <w:rsid w:val="00240966"/>
    <w:rsid w:val="0024163E"/>
    <w:rsid w:val="0024175F"/>
    <w:rsid w:val="00255794"/>
    <w:rsid w:val="00260998"/>
    <w:rsid w:val="0026149A"/>
    <w:rsid w:val="0026404C"/>
    <w:rsid w:val="002647CB"/>
    <w:rsid w:val="00264A5D"/>
    <w:rsid w:val="0026684B"/>
    <w:rsid w:val="00267460"/>
    <w:rsid w:val="0027581C"/>
    <w:rsid w:val="002759BB"/>
    <w:rsid w:val="002762EE"/>
    <w:rsid w:val="00285E09"/>
    <w:rsid w:val="0028605C"/>
    <w:rsid w:val="002865E1"/>
    <w:rsid w:val="00287E3F"/>
    <w:rsid w:val="00291527"/>
    <w:rsid w:val="00293486"/>
    <w:rsid w:val="00294004"/>
    <w:rsid w:val="00297F00"/>
    <w:rsid w:val="002A6ED8"/>
    <w:rsid w:val="002A7892"/>
    <w:rsid w:val="002C60F3"/>
    <w:rsid w:val="002C6B35"/>
    <w:rsid w:val="002D15F6"/>
    <w:rsid w:val="002E2923"/>
    <w:rsid w:val="002E6949"/>
    <w:rsid w:val="002E7DE9"/>
    <w:rsid w:val="002F1E28"/>
    <w:rsid w:val="002F5A29"/>
    <w:rsid w:val="003023FE"/>
    <w:rsid w:val="00305F72"/>
    <w:rsid w:val="00312E05"/>
    <w:rsid w:val="00313189"/>
    <w:rsid w:val="0031737D"/>
    <w:rsid w:val="00320356"/>
    <w:rsid w:val="00320FAC"/>
    <w:rsid w:val="0032107C"/>
    <w:rsid w:val="0033190A"/>
    <w:rsid w:val="00336AAE"/>
    <w:rsid w:val="0034110D"/>
    <w:rsid w:val="00344F1B"/>
    <w:rsid w:val="00347383"/>
    <w:rsid w:val="00347B50"/>
    <w:rsid w:val="00352CA9"/>
    <w:rsid w:val="00352D5D"/>
    <w:rsid w:val="00354A1F"/>
    <w:rsid w:val="00360EDD"/>
    <w:rsid w:val="00362054"/>
    <w:rsid w:val="00362DF5"/>
    <w:rsid w:val="00363A19"/>
    <w:rsid w:val="003670A9"/>
    <w:rsid w:val="00370242"/>
    <w:rsid w:val="003731E9"/>
    <w:rsid w:val="00375561"/>
    <w:rsid w:val="00376893"/>
    <w:rsid w:val="00376FA2"/>
    <w:rsid w:val="00377050"/>
    <w:rsid w:val="00377F99"/>
    <w:rsid w:val="00381DBA"/>
    <w:rsid w:val="00386D3A"/>
    <w:rsid w:val="003917AC"/>
    <w:rsid w:val="00393295"/>
    <w:rsid w:val="00393984"/>
    <w:rsid w:val="00394998"/>
    <w:rsid w:val="0039676F"/>
    <w:rsid w:val="003A7E02"/>
    <w:rsid w:val="003B0A44"/>
    <w:rsid w:val="003B263C"/>
    <w:rsid w:val="003B4501"/>
    <w:rsid w:val="003B495C"/>
    <w:rsid w:val="003B6126"/>
    <w:rsid w:val="003C182A"/>
    <w:rsid w:val="003C619E"/>
    <w:rsid w:val="003C7A0A"/>
    <w:rsid w:val="003D06A7"/>
    <w:rsid w:val="003D0E55"/>
    <w:rsid w:val="003D2CDB"/>
    <w:rsid w:val="003D2FFF"/>
    <w:rsid w:val="003D3F1D"/>
    <w:rsid w:val="003D433B"/>
    <w:rsid w:val="003D63AA"/>
    <w:rsid w:val="003E363A"/>
    <w:rsid w:val="003E44A8"/>
    <w:rsid w:val="003E48DC"/>
    <w:rsid w:val="003E56FB"/>
    <w:rsid w:val="003E674C"/>
    <w:rsid w:val="003F0469"/>
    <w:rsid w:val="003F38C4"/>
    <w:rsid w:val="0040349E"/>
    <w:rsid w:val="0040504F"/>
    <w:rsid w:val="0040541D"/>
    <w:rsid w:val="00407762"/>
    <w:rsid w:val="00407C9B"/>
    <w:rsid w:val="00413922"/>
    <w:rsid w:val="004146B2"/>
    <w:rsid w:val="00416066"/>
    <w:rsid w:val="004213BD"/>
    <w:rsid w:val="004222F8"/>
    <w:rsid w:val="00422591"/>
    <w:rsid w:val="004231A2"/>
    <w:rsid w:val="004235BE"/>
    <w:rsid w:val="00424D96"/>
    <w:rsid w:val="0043119F"/>
    <w:rsid w:val="00434D8A"/>
    <w:rsid w:val="00437C0F"/>
    <w:rsid w:val="004411A7"/>
    <w:rsid w:val="00442888"/>
    <w:rsid w:val="00443F7B"/>
    <w:rsid w:val="004458D7"/>
    <w:rsid w:val="004502DD"/>
    <w:rsid w:val="00453FEA"/>
    <w:rsid w:val="00455A8A"/>
    <w:rsid w:val="00455B31"/>
    <w:rsid w:val="00456462"/>
    <w:rsid w:val="004576B7"/>
    <w:rsid w:val="0046231C"/>
    <w:rsid w:val="00466BE9"/>
    <w:rsid w:val="0046771D"/>
    <w:rsid w:val="00471CF4"/>
    <w:rsid w:val="00472C37"/>
    <w:rsid w:val="00473764"/>
    <w:rsid w:val="00473CCC"/>
    <w:rsid w:val="00474F3F"/>
    <w:rsid w:val="0048030A"/>
    <w:rsid w:val="00481118"/>
    <w:rsid w:val="0048229F"/>
    <w:rsid w:val="004845BB"/>
    <w:rsid w:val="004862B1"/>
    <w:rsid w:val="00490A8C"/>
    <w:rsid w:val="00491E55"/>
    <w:rsid w:val="00492A9C"/>
    <w:rsid w:val="00493DCE"/>
    <w:rsid w:val="00496A2C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C21B9"/>
    <w:rsid w:val="004C3030"/>
    <w:rsid w:val="004C7893"/>
    <w:rsid w:val="004D1966"/>
    <w:rsid w:val="004D3588"/>
    <w:rsid w:val="004E0B94"/>
    <w:rsid w:val="004E3D1A"/>
    <w:rsid w:val="004F4385"/>
    <w:rsid w:val="0050003D"/>
    <w:rsid w:val="005007D0"/>
    <w:rsid w:val="005038BF"/>
    <w:rsid w:val="00503D2E"/>
    <w:rsid w:val="005062B7"/>
    <w:rsid w:val="0051302C"/>
    <w:rsid w:val="00513382"/>
    <w:rsid w:val="00516AE5"/>
    <w:rsid w:val="00520417"/>
    <w:rsid w:val="00520707"/>
    <w:rsid w:val="00521283"/>
    <w:rsid w:val="005237B7"/>
    <w:rsid w:val="00523A85"/>
    <w:rsid w:val="00526781"/>
    <w:rsid w:val="00526810"/>
    <w:rsid w:val="00532102"/>
    <w:rsid w:val="00535C5E"/>
    <w:rsid w:val="00540FED"/>
    <w:rsid w:val="00543553"/>
    <w:rsid w:val="00544641"/>
    <w:rsid w:val="00546892"/>
    <w:rsid w:val="00546B5E"/>
    <w:rsid w:val="005513BC"/>
    <w:rsid w:val="00554438"/>
    <w:rsid w:val="00561894"/>
    <w:rsid w:val="005624E6"/>
    <w:rsid w:val="00562E19"/>
    <w:rsid w:val="0057212C"/>
    <w:rsid w:val="00577437"/>
    <w:rsid w:val="0058059F"/>
    <w:rsid w:val="0058066B"/>
    <w:rsid w:val="005815AE"/>
    <w:rsid w:val="00584231"/>
    <w:rsid w:val="005854C1"/>
    <w:rsid w:val="00585BDC"/>
    <w:rsid w:val="00590418"/>
    <w:rsid w:val="005934D5"/>
    <w:rsid w:val="00593A96"/>
    <w:rsid w:val="00595AC1"/>
    <w:rsid w:val="005A48B9"/>
    <w:rsid w:val="005A7B0B"/>
    <w:rsid w:val="005B01C4"/>
    <w:rsid w:val="005B4270"/>
    <w:rsid w:val="005C048A"/>
    <w:rsid w:val="005C081F"/>
    <w:rsid w:val="005C09CE"/>
    <w:rsid w:val="005C13BE"/>
    <w:rsid w:val="005C3DC3"/>
    <w:rsid w:val="005D59C2"/>
    <w:rsid w:val="005D7578"/>
    <w:rsid w:val="005E38FA"/>
    <w:rsid w:val="005E4B9D"/>
    <w:rsid w:val="005E67CE"/>
    <w:rsid w:val="005F1FBA"/>
    <w:rsid w:val="005F42B4"/>
    <w:rsid w:val="005F790D"/>
    <w:rsid w:val="005F7C51"/>
    <w:rsid w:val="00605C1F"/>
    <w:rsid w:val="0061082E"/>
    <w:rsid w:val="00614C87"/>
    <w:rsid w:val="0061718C"/>
    <w:rsid w:val="006222CC"/>
    <w:rsid w:val="00623699"/>
    <w:rsid w:val="006238C8"/>
    <w:rsid w:val="006269D6"/>
    <w:rsid w:val="00630F67"/>
    <w:rsid w:val="0063775E"/>
    <w:rsid w:val="0064033C"/>
    <w:rsid w:val="00640B67"/>
    <w:rsid w:val="006442FD"/>
    <w:rsid w:val="00647D2A"/>
    <w:rsid w:val="00651FC7"/>
    <w:rsid w:val="00652A36"/>
    <w:rsid w:val="006558EF"/>
    <w:rsid w:val="006618DC"/>
    <w:rsid w:val="00662BE4"/>
    <w:rsid w:val="00662F06"/>
    <w:rsid w:val="0066419C"/>
    <w:rsid w:val="00664715"/>
    <w:rsid w:val="00664891"/>
    <w:rsid w:val="00665D03"/>
    <w:rsid w:val="0066762D"/>
    <w:rsid w:val="00667943"/>
    <w:rsid w:val="006837AB"/>
    <w:rsid w:val="006837EC"/>
    <w:rsid w:val="006876B9"/>
    <w:rsid w:val="00692CFE"/>
    <w:rsid w:val="006A4D02"/>
    <w:rsid w:val="006A717D"/>
    <w:rsid w:val="006B1602"/>
    <w:rsid w:val="006B676C"/>
    <w:rsid w:val="006B6B93"/>
    <w:rsid w:val="006C02E5"/>
    <w:rsid w:val="006C1777"/>
    <w:rsid w:val="006C557C"/>
    <w:rsid w:val="006C5C66"/>
    <w:rsid w:val="006C75FA"/>
    <w:rsid w:val="006D01D3"/>
    <w:rsid w:val="006D3BEF"/>
    <w:rsid w:val="006D4E8B"/>
    <w:rsid w:val="006E44CE"/>
    <w:rsid w:val="006E4832"/>
    <w:rsid w:val="006E6152"/>
    <w:rsid w:val="006F14F4"/>
    <w:rsid w:val="006F7057"/>
    <w:rsid w:val="006F7260"/>
    <w:rsid w:val="006F78C8"/>
    <w:rsid w:val="0070731B"/>
    <w:rsid w:val="0071707D"/>
    <w:rsid w:val="00721A1D"/>
    <w:rsid w:val="0072255C"/>
    <w:rsid w:val="00734005"/>
    <w:rsid w:val="00742A03"/>
    <w:rsid w:val="00743EFF"/>
    <w:rsid w:val="00744195"/>
    <w:rsid w:val="00746126"/>
    <w:rsid w:val="007502F1"/>
    <w:rsid w:val="00751CBE"/>
    <w:rsid w:val="00753A0C"/>
    <w:rsid w:val="00754751"/>
    <w:rsid w:val="00761206"/>
    <w:rsid w:val="007655F1"/>
    <w:rsid w:val="007709A3"/>
    <w:rsid w:val="0077155B"/>
    <w:rsid w:val="007719B3"/>
    <w:rsid w:val="007763A7"/>
    <w:rsid w:val="007771B9"/>
    <w:rsid w:val="007819FE"/>
    <w:rsid w:val="00783169"/>
    <w:rsid w:val="00785BF6"/>
    <w:rsid w:val="00786F56"/>
    <w:rsid w:val="0079216F"/>
    <w:rsid w:val="00792C96"/>
    <w:rsid w:val="00794AAE"/>
    <w:rsid w:val="00796845"/>
    <w:rsid w:val="007A061C"/>
    <w:rsid w:val="007A335D"/>
    <w:rsid w:val="007A76A4"/>
    <w:rsid w:val="007A7F6B"/>
    <w:rsid w:val="007B1385"/>
    <w:rsid w:val="007B1C6F"/>
    <w:rsid w:val="007B3BA7"/>
    <w:rsid w:val="007B6C86"/>
    <w:rsid w:val="007B7D08"/>
    <w:rsid w:val="007C2B8F"/>
    <w:rsid w:val="007C38F9"/>
    <w:rsid w:val="007C636E"/>
    <w:rsid w:val="007D0F0B"/>
    <w:rsid w:val="007D560C"/>
    <w:rsid w:val="007D580E"/>
    <w:rsid w:val="007D7DC4"/>
    <w:rsid w:val="007E5E81"/>
    <w:rsid w:val="007E7265"/>
    <w:rsid w:val="007F4768"/>
    <w:rsid w:val="007F6EEA"/>
    <w:rsid w:val="0080121D"/>
    <w:rsid w:val="008017E0"/>
    <w:rsid w:val="008029A1"/>
    <w:rsid w:val="00804589"/>
    <w:rsid w:val="00810C50"/>
    <w:rsid w:val="00813658"/>
    <w:rsid w:val="00817475"/>
    <w:rsid w:val="00817CF7"/>
    <w:rsid w:val="00830193"/>
    <w:rsid w:val="008310B3"/>
    <w:rsid w:val="008322E0"/>
    <w:rsid w:val="00837449"/>
    <w:rsid w:val="00840C42"/>
    <w:rsid w:val="00841B50"/>
    <w:rsid w:val="0084257D"/>
    <w:rsid w:val="008430BA"/>
    <w:rsid w:val="008439A7"/>
    <w:rsid w:val="00847421"/>
    <w:rsid w:val="00847AFF"/>
    <w:rsid w:val="008511DC"/>
    <w:rsid w:val="00854FD9"/>
    <w:rsid w:val="00860256"/>
    <w:rsid w:val="00861B33"/>
    <w:rsid w:val="00864D3B"/>
    <w:rsid w:val="00867B26"/>
    <w:rsid w:val="0087114B"/>
    <w:rsid w:val="0087577D"/>
    <w:rsid w:val="00876306"/>
    <w:rsid w:val="008821BA"/>
    <w:rsid w:val="00882F89"/>
    <w:rsid w:val="00883009"/>
    <w:rsid w:val="00883176"/>
    <w:rsid w:val="008836DD"/>
    <w:rsid w:val="00885084"/>
    <w:rsid w:val="008919EF"/>
    <w:rsid w:val="00891BF8"/>
    <w:rsid w:val="00891CBE"/>
    <w:rsid w:val="008948B0"/>
    <w:rsid w:val="008A69B1"/>
    <w:rsid w:val="008B6011"/>
    <w:rsid w:val="008C0E6E"/>
    <w:rsid w:val="008C291A"/>
    <w:rsid w:val="008C3301"/>
    <w:rsid w:val="008D1280"/>
    <w:rsid w:val="008D2AA4"/>
    <w:rsid w:val="008E17C9"/>
    <w:rsid w:val="008E1C69"/>
    <w:rsid w:val="008E4273"/>
    <w:rsid w:val="008E6E3C"/>
    <w:rsid w:val="008F3325"/>
    <w:rsid w:val="009003C7"/>
    <w:rsid w:val="00902F36"/>
    <w:rsid w:val="00903889"/>
    <w:rsid w:val="0090465D"/>
    <w:rsid w:val="00907095"/>
    <w:rsid w:val="00912871"/>
    <w:rsid w:val="00917E52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4BAC"/>
    <w:rsid w:val="0095013A"/>
    <w:rsid w:val="009559C3"/>
    <w:rsid w:val="00955E93"/>
    <w:rsid w:val="00956F84"/>
    <w:rsid w:val="00962B1C"/>
    <w:rsid w:val="00972223"/>
    <w:rsid w:val="00975CFD"/>
    <w:rsid w:val="00977410"/>
    <w:rsid w:val="00983963"/>
    <w:rsid w:val="009900B4"/>
    <w:rsid w:val="009923FF"/>
    <w:rsid w:val="00993134"/>
    <w:rsid w:val="00996E05"/>
    <w:rsid w:val="009A7EAB"/>
    <w:rsid w:val="009B04A8"/>
    <w:rsid w:val="009B2171"/>
    <w:rsid w:val="009B4959"/>
    <w:rsid w:val="009C5B85"/>
    <w:rsid w:val="009C6BC0"/>
    <w:rsid w:val="009D2F36"/>
    <w:rsid w:val="009D49A3"/>
    <w:rsid w:val="009D4B7C"/>
    <w:rsid w:val="009D500F"/>
    <w:rsid w:val="009D5317"/>
    <w:rsid w:val="009D5ED5"/>
    <w:rsid w:val="009D69D8"/>
    <w:rsid w:val="009E3FE8"/>
    <w:rsid w:val="009E6F7F"/>
    <w:rsid w:val="009F5649"/>
    <w:rsid w:val="00A057A2"/>
    <w:rsid w:val="00A1212C"/>
    <w:rsid w:val="00A126B1"/>
    <w:rsid w:val="00A1433E"/>
    <w:rsid w:val="00A150FA"/>
    <w:rsid w:val="00A1745D"/>
    <w:rsid w:val="00A176BE"/>
    <w:rsid w:val="00A2073A"/>
    <w:rsid w:val="00A21EA9"/>
    <w:rsid w:val="00A264CA"/>
    <w:rsid w:val="00A315EE"/>
    <w:rsid w:val="00A32816"/>
    <w:rsid w:val="00A35AFC"/>
    <w:rsid w:val="00A37101"/>
    <w:rsid w:val="00A41542"/>
    <w:rsid w:val="00A44ADB"/>
    <w:rsid w:val="00A44F7D"/>
    <w:rsid w:val="00A4668F"/>
    <w:rsid w:val="00A4676E"/>
    <w:rsid w:val="00A513F3"/>
    <w:rsid w:val="00A525B6"/>
    <w:rsid w:val="00A543CB"/>
    <w:rsid w:val="00A56511"/>
    <w:rsid w:val="00A60CAC"/>
    <w:rsid w:val="00A7655F"/>
    <w:rsid w:val="00A8230D"/>
    <w:rsid w:val="00A82BD0"/>
    <w:rsid w:val="00A82F42"/>
    <w:rsid w:val="00A87CBC"/>
    <w:rsid w:val="00A901A3"/>
    <w:rsid w:val="00A95880"/>
    <w:rsid w:val="00AA0F79"/>
    <w:rsid w:val="00AB3685"/>
    <w:rsid w:val="00AB4F05"/>
    <w:rsid w:val="00AB5C94"/>
    <w:rsid w:val="00AC0991"/>
    <w:rsid w:val="00AC0D09"/>
    <w:rsid w:val="00AD0ED3"/>
    <w:rsid w:val="00AD23C9"/>
    <w:rsid w:val="00AD5EBE"/>
    <w:rsid w:val="00AF25C5"/>
    <w:rsid w:val="00AF28B5"/>
    <w:rsid w:val="00AF3C31"/>
    <w:rsid w:val="00AF6FC7"/>
    <w:rsid w:val="00AF7560"/>
    <w:rsid w:val="00B10B48"/>
    <w:rsid w:val="00B15F30"/>
    <w:rsid w:val="00B16A04"/>
    <w:rsid w:val="00B17779"/>
    <w:rsid w:val="00B22925"/>
    <w:rsid w:val="00B243B0"/>
    <w:rsid w:val="00B3443A"/>
    <w:rsid w:val="00B411EC"/>
    <w:rsid w:val="00B43A36"/>
    <w:rsid w:val="00B5045B"/>
    <w:rsid w:val="00B519D2"/>
    <w:rsid w:val="00B6142B"/>
    <w:rsid w:val="00B62F2C"/>
    <w:rsid w:val="00B66F25"/>
    <w:rsid w:val="00B678F6"/>
    <w:rsid w:val="00B70978"/>
    <w:rsid w:val="00B751B1"/>
    <w:rsid w:val="00B818C7"/>
    <w:rsid w:val="00B82299"/>
    <w:rsid w:val="00B84582"/>
    <w:rsid w:val="00B8466F"/>
    <w:rsid w:val="00B8669A"/>
    <w:rsid w:val="00B95F11"/>
    <w:rsid w:val="00B9698F"/>
    <w:rsid w:val="00B97AA9"/>
    <w:rsid w:val="00BA450D"/>
    <w:rsid w:val="00BB13F6"/>
    <w:rsid w:val="00BB3CEE"/>
    <w:rsid w:val="00BB4A97"/>
    <w:rsid w:val="00BB5A04"/>
    <w:rsid w:val="00BB7658"/>
    <w:rsid w:val="00BC0E71"/>
    <w:rsid w:val="00BC6396"/>
    <w:rsid w:val="00BD0477"/>
    <w:rsid w:val="00BD4236"/>
    <w:rsid w:val="00BE1514"/>
    <w:rsid w:val="00BE2DFD"/>
    <w:rsid w:val="00BE36F9"/>
    <w:rsid w:val="00BE7DEA"/>
    <w:rsid w:val="00BF0C50"/>
    <w:rsid w:val="00BF0CBD"/>
    <w:rsid w:val="00BF2AEF"/>
    <w:rsid w:val="00BF5C1A"/>
    <w:rsid w:val="00BF7417"/>
    <w:rsid w:val="00C10F95"/>
    <w:rsid w:val="00C20EEA"/>
    <w:rsid w:val="00C21614"/>
    <w:rsid w:val="00C21C6B"/>
    <w:rsid w:val="00C2534F"/>
    <w:rsid w:val="00C25F7A"/>
    <w:rsid w:val="00C263F3"/>
    <w:rsid w:val="00C26CD3"/>
    <w:rsid w:val="00C3150F"/>
    <w:rsid w:val="00C3255C"/>
    <w:rsid w:val="00C34569"/>
    <w:rsid w:val="00C34E15"/>
    <w:rsid w:val="00C37D3B"/>
    <w:rsid w:val="00C40B4D"/>
    <w:rsid w:val="00C444A5"/>
    <w:rsid w:val="00C46044"/>
    <w:rsid w:val="00C47458"/>
    <w:rsid w:val="00C516C5"/>
    <w:rsid w:val="00C52CC7"/>
    <w:rsid w:val="00C531B0"/>
    <w:rsid w:val="00C621D3"/>
    <w:rsid w:val="00C635FF"/>
    <w:rsid w:val="00C67CED"/>
    <w:rsid w:val="00C70D95"/>
    <w:rsid w:val="00C7123D"/>
    <w:rsid w:val="00C7197A"/>
    <w:rsid w:val="00C73B8C"/>
    <w:rsid w:val="00C75334"/>
    <w:rsid w:val="00C76583"/>
    <w:rsid w:val="00C777A0"/>
    <w:rsid w:val="00C82C00"/>
    <w:rsid w:val="00C83AAC"/>
    <w:rsid w:val="00C93BF6"/>
    <w:rsid w:val="00C93CF5"/>
    <w:rsid w:val="00C93F3C"/>
    <w:rsid w:val="00CA0AFD"/>
    <w:rsid w:val="00CA1D7C"/>
    <w:rsid w:val="00CA2D27"/>
    <w:rsid w:val="00CA5C3B"/>
    <w:rsid w:val="00CA6DD4"/>
    <w:rsid w:val="00CA78D4"/>
    <w:rsid w:val="00CB2A98"/>
    <w:rsid w:val="00CB66EB"/>
    <w:rsid w:val="00CC1204"/>
    <w:rsid w:val="00CC442B"/>
    <w:rsid w:val="00CC5A37"/>
    <w:rsid w:val="00CD0482"/>
    <w:rsid w:val="00CD3072"/>
    <w:rsid w:val="00CD61F0"/>
    <w:rsid w:val="00CD6D02"/>
    <w:rsid w:val="00CE597C"/>
    <w:rsid w:val="00CF4A9A"/>
    <w:rsid w:val="00CF4FF4"/>
    <w:rsid w:val="00CF53D3"/>
    <w:rsid w:val="00CF71A0"/>
    <w:rsid w:val="00D02251"/>
    <w:rsid w:val="00D0528F"/>
    <w:rsid w:val="00D066B5"/>
    <w:rsid w:val="00D07A2D"/>
    <w:rsid w:val="00D12553"/>
    <w:rsid w:val="00D14406"/>
    <w:rsid w:val="00D16418"/>
    <w:rsid w:val="00D20000"/>
    <w:rsid w:val="00D21B07"/>
    <w:rsid w:val="00D24D9A"/>
    <w:rsid w:val="00D26175"/>
    <w:rsid w:val="00D306EB"/>
    <w:rsid w:val="00D34E36"/>
    <w:rsid w:val="00D35970"/>
    <w:rsid w:val="00D35DA8"/>
    <w:rsid w:val="00D37407"/>
    <w:rsid w:val="00D37A67"/>
    <w:rsid w:val="00D37BEB"/>
    <w:rsid w:val="00D41D1A"/>
    <w:rsid w:val="00D42562"/>
    <w:rsid w:val="00D43703"/>
    <w:rsid w:val="00D4748D"/>
    <w:rsid w:val="00D535AD"/>
    <w:rsid w:val="00D655CF"/>
    <w:rsid w:val="00D71646"/>
    <w:rsid w:val="00D716FC"/>
    <w:rsid w:val="00D72004"/>
    <w:rsid w:val="00D75DCC"/>
    <w:rsid w:val="00D8121A"/>
    <w:rsid w:val="00D8143B"/>
    <w:rsid w:val="00D8365F"/>
    <w:rsid w:val="00D86199"/>
    <w:rsid w:val="00D92B32"/>
    <w:rsid w:val="00D95308"/>
    <w:rsid w:val="00D96257"/>
    <w:rsid w:val="00D9631A"/>
    <w:rsid w:val="00DA6EF0"/>
    <w:rsid w:val="00DB0F24"/>
    <w:rsid w:val="00DB2E1F"/>
    <w:rsid w:val="00DB2E46"/>
    <w:rsid w:val="00DB4000"/>
    <w:rsid w:val="00DB5C62"/>
    <w:rsid w:val="00DC370C"/>
    <w:rsid w:val="00DC52C2"/>
    <w:rsid w:val="00DC62DD"/>
    <w:rsid w:val="00DD0355"/>
    <w:rsid w:val="00DD0938"/>
    <w:rsid w:val="00DD24E9"/>
    <w:rsid w:val="00DD3711"/>
    <w:rsid w:val="00DE31D2"/>
    <w:rsid w:val="00DE41D1"/>
    <w:rsid w:val="00DE5DDF"/>
    <w:rsid w:val="00DE611A"/>
    <w:rsid w:val="00DF15CD"/>
    <w:rsid w:val="00DF2BD1"/>
    <w:rsid w:val="00E10FD6"/>
    <w:rsid w:val="00E11CB0"/>
    <w:rsid w:val="00E11E2B"/>
    <w:rsid w:val="00E12DE2"/>
    <w:rsid w:val="00E12E29"/>
    <w:rsid w:val="00E1391D"/>
    <w:rsid w:val="00E14192"/>
    <w:rsid w:val="00E14B33"/>
    <w:rsid w:val="00E222CB"/>
    <w:rsid w:val="00E24F89"/>
    <w:rsid w:val="00E3011B"/>
    <w:rsid w:val="00E36764"/>
    <w:rsid w:val="00E4300B"/>
    <w:rsid w:val="00E43573"/>
    <w:rsid w:val="00E44F9F"/>
    <w:rsid w:val="00E45A12"/>
    <w:rsid w:val="00E543B7"/>
    <w:rsid w:val="00E546EE"/>
    <w:rsid w:val="00E54785"/>
    <w:rsid w:val="00E54F07"/>
    <w:rsid w:val="00E62192"/>
    <w:rsid w:val="00E62587"/>
    <w:rsid w:val="00E67714"/>
    <w:rsid w:val="00E71B89"/>
    <w:rsid w:val="00E76B68"/>
    <w:rsid w:val="00E778CA"/>
    <w:rsid w:val="00E8287C"/>
    <w:rsid w:val="00E83294"/>
    <w:rsid w:val="00E84D53"/>
    <w:rsid w:val="00E922CD"/>
    <w:rsid w:val="00EA1589"/>
    <w:rsid w:val="00EA5968"/>
    <w:rsid w:val="00EB2AF2"/>
    <w:rsid w:val="00EB4B42"/>
    <w:rsid w:val="00EC0174"/>
    <w:rsid w:val="00EC608B"/>
    <w:rsid w:val="00EC6D1A"/>
    <w:rsid w:val="00EC6F0A"/>
    <w:rsid w:val="00ED29BF"/>
    <w:rsid w:val="00ED36E0"/>
    <w:rsid w:val="00ED3C4C"/>
    <w:rsid w:val="00ED42EB"/>
    <w:rsid w:val="00EE120A"/>
    <w:rsid w:val="00EE1897"/>
    <w:rsid w:val="00EE44EB"/>
    <w:rsid w:val="00EE4B7D"/>
    <w:rsid w:val="00F03FB5"/>
    <w:rsid w:val="00F04FB4"/>
    <w:rsid w:val="00F06783"/>
    <w:rsid w:val="00F139B0"/>
    <w:rsid w:val="00F13C46"/>
    <w:rsid w:val="00F22083"/>
    <w:rsid w:val="00F22DA4"/>
    <w:rsid w:val="00F23277"/>
    <w:rsid w:val="00F23CFF"/>
    <w:rsid w:val="00F250E5"/>
    <w:rsid w:val="00F30718"/>
    <w:rsid w:val="00F30C63"/>
    <w:rsid w:val="00F339E6"/>
    <w:rsid w:val="00F33EEE"/>
    <w:rsid w:val="00F410C5"/>
    <w:rsid w:val="00F43B5A"/>
    <w:rsid w:val="00F43F21"/>
    <w:rsid w:val="00F447A8"/>
    <w:rsid w:val="00F5352A"/>
    <w:rsid w:val="00F53C9E"/>
    <w:rsid w:val="00F56E6E"/>
    <w:rsid w:val="00F5751C"/>
    <w:rsid w:val="00F65115"/>
    <w:rsid w:val="00F66416"/>
    <w:rsid w:val="00F731EA"/>
    <w:rsid w:val="00F745D9"/>
    <w:rsid w:val="00F76DF8"/>
    <w:rsid w:val="00F770B9"/>
    <w:rsid w:val="00F84D19"/>
    <w:rsid w:val="00F8586A"/>
    <w:rsid w:val="00F8623B"/>
    <w:rsid w:val="00F90B1E"/>
    <w:rsid w:val="00F9318A"/>
    <w:rsid w:val="00F93755"/>
    <w:rsid w:val="00F937BD"/>
    <w:rsid w:val="00F93C20"/>
    <w:rsid w:val="00F93F5E"/>
    <w:rsid w:val="00F95ECF"/>
    <w:rsid w:val="00F96717"/>
    <w:rsid w:val="00F96D5F"/>
    <w:rsid w:val="00FA0568"/>
    <w:rsid w:val="00FA0BB6"/>
    <w:rsid w:val="00FA10AF"/>
    <w:rsid w:val="00FA1ED3"/>
    <w:rsid w:val="00FA23AC"/>
    <w:rsid w:val="00FA4DA4"/>
    <w:rsid w:val="00FA5411"/>
    <w:rsid w:val="00FA5ED9"/>
    <w:rsid w:val="00FA7E97"/>
    <w:rsid w:val="00FB5975"/>
    <w:rsid w:val="00FC12A7"/>
    <w:rsid w:val="00FC5023"/>
    <w:rsid w:val="00FC526B"/>
    <w:rsid w:val="00FC650E"/>
    <w:rsid w:val="00FC76D5"/>
    <w:rsid w:val="00FD3FDB"/>
    <w:rsid w:val="00FD4D0B"/>
    <w:rsid w:val="00FD55E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A9C88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0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58EF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pkhazava@credo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nders.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42D1-994D-4A4B-BACC-3882E5F8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თებერვალი, 2023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Eka Apkhazava</cp:lastModifiedBy>
  <cp:revision>15</cp:revision>
  <cp:lastPrinted>2015-04-16T07:31:00Z</cp:lastPrinted>
  <dcterms:created xsi:type="dcterms:W3CDTF">2022-06-27T14:09:00Z</dcterms:created>
  <dcterms:modified xsi:type="dcterms:W3CDTF">2023-02-07T12:32:00Z</dcterms:modified>
</cp:coreProperties>
</file>